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atbilstoši  Ministru kabineta noteikumi Nr. 617 Tiesību akta projekta sākotnējās ietekmes izvērtēšanas kārtības 14.2. apakšpunktam, kas nosaka sabiedrības grupas, kuras ietekmēs projekts, ietekme uz tām, ietekmi uz tautsaimniecības attīstību un administratīvo slogu, tai skaitā administratīvo izmaksu monetārs novērtējums un atbilstības izmaksu monetārs novērtējums. Kaut arī VARAM anotācijā norāda, ka ir izvērtēti alternatīvie risinājumi un atbilstoši Eiropas tiesas 2000. gada 7. novembra spriedumam lietā C-371/98 First Corporate Shipping nedrīkst ņemt vērā citus kritērijus lēmuma pieņemšanai par ierosināmo teritoriju robežām, tomēr - izpildot Ministru kabineta noteikumu prasības, ir jānorāda ietekme uz tautsaimniecības attīstību, tostarp - ietekmi uz fiziskām un juridiskām personām un to tiesību aizskārumu.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20.12.2023.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20.12.2023.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