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un ostu akvatoriju tīrīšanas un padziļināšanas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atbalsta noteikumu projekta tālāku virzību, vienlaikus uzsverot, ka kategoriski nav pieļaujama 2.3. punkta paplašināšana ar meliorācijas sistēmu un būvju atjaunošanu, kas var ietvert būtisku daļēji vai pilnībā dabiskojušos upju pārveidošanu.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jebkādus pārpratumus, lūdzam papildināt anotāciju ar skaidrojumu, ka tehniskie noteikumi ir nepieciešami arī ūdensobjektu padziļināšanai, kas tiek veikta valsts nozīmes ūdensnoteku atjaunošanas vai pārbūves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noteikumu projekta 30. punktu, ietverot arī nosacījumus vides kvalitātes saglabāšanai/uzlabošanai, ciktāl tas attiecināms konkrētajā gadījumā (piemēram, var būt nepieciešama krastā augošo koku saglabāšana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17.07.2025.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17.07.2025.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