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akreditēti valsts muzeji (turpmāk – muzejs) var saņemt valsts garantētu apdrošināšanu (turpmāk – garantija) starptautisku izstāžu (turpmāk – izstāde)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garantētās apdrošināšanas saistību pārraudzības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norādīts saīsinājums - </w:t>
            </w:r>
            <w:r w:rsidR="00000000" w:rsidRPr="00000000" w:rsidDel="00000000">
              <w:rPr>
                <w:i w:val="1"/>
                <w:rtl w:val="0"/>
              </w:rPr>
              <w:t xml:space="preserve">valsts garantētu apdrošināšanu (turpmāk – garantija)</w:t>
            </w:r>
            <w:r w:rsidR="00000000" w:rsidRPr="00000000" w:rsidDel="00000000">
              <w:rPr>
                <w:rtl w:val="0"/>
              </w:rPr>
              <w:t xml:space="preserve">, tomēr pēc tam attiecīgajā punktā tiek lietots pilnais nosaukums, aicinām izvērtēt un atbilstoši mainīt uz saīsinājumu "garantija".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komercdarbības atbalsta gadījumā – izstādes ieņēmumu un izdevumu prognozes gadam, kuram tiek pieprasīta garantija, lai noteiktu šo noteikumu 45. punktā minēto finanšu aprēķinu komercdarbības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11.8.apakšpunktu ir paredzēts noteikt muzejam pienākumu iesniegt finanšu datus par konkrētās izstādes plānotajiem ieņēmumiem un izdevumiem, kas ir nepieciešami, lai veiktu šo noteikumu projekta 45.punktā noteikto finanšu aprēķinu (atbilstoši Komisijas regulas Nr.651/2014 53.panta 7.punktā noteiktajam), lūdzam precizēt noteikumu projekta 11.8.apakšpunktu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komercdarbības atbalsta gadījumā – izstādes, kurai tiek pieprasīta garantija, ieņēmumu un izdevumu prognozes, lai noteiktu šo noteikumu 45. punktā minēto finanšu aprēķinu komercdarbības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