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Uzņēmums šo noteikumu izpratnē ir liels, vidējs vai mazs uzņēmums bez valsts vai pašvaldību kapitāla daļas. Mazs un vidējs uzņēmums šo noteikumu izpratnē ir uzņēmums, kas atbilst Eiropas Komisijas 2014. gada 17. jūnija Regulas (ES) </w:t>
            </w:r>
            <w:r w:rsidR="00000000" w:rsidRPr="00000000" w:rsidDel="00000000">
              <w:rPr>
                <w:rtl w:val="0"/>
              </w:rPr>
              <w:t xml:space="preserve">Nr. 651/2014</w:t>
            </w:r>
            <w:r w:rsidR="00000000" w:rsidRPr="00000000" w:rsidDel="00000000">
              <w:rPr>
                <w:rtl w:val="0"/>
              </w:rPr>
              <w:t xml:space="preserve">, ar ko noteiktas atbalsta kategorijas atzīst par saderīgām ar iekšējo tirgu, piemērojot Līguma 107. un 108. pantu (turpmāk – regula Nr. 651/2014), I pielikuma 2. pantam. Liels uzņēmums šo noteikumu izpratnē ir uzņēmums, kas neatbilst regulas </w:t>
            </w:r>
            <w:r w:rsidR="00000000" w:rsidRPr="00000000" w:rsidDel="00000000">
              <w:rPr>
                <w:rtl w:val="0"/>
              </w:rPr>
              <w:t xml:space="preserve">Nr. 651/2014</w:t>
            </w:r>
            <w:r w:rsidR="00000000" w:rsidRPr="00000000" w:rsidDel="00000000">
              <w:rPr>
                <w:rtl w:val="0"/>
              </w:rPr>
              <w:t xml:space="preserve"> I pielikumā noteiktajiem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šo noteikumu </w:t>
            </w:r>
            <w:r w:rsidR="00000000" w:rsidRPr="00000000" w:rsidDel="00000000">
              <w:rPr>
                <w:rtl w:val="0"/>
              </w:rPr>
              <w:t xml:space="preserve">31.1.1.</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un </w:t>
            </w:r>
            <w:r w:rsidR="00000000" w:rsidRPr="00000000" w:rsidDel="00000000">
              <w:rPr>
                <w:rtl w:val="0"/>
              </w:rPr>
              <w:t xml:space="preserve">31.7.</w:t>
            </w:r>
            <w:r w:rsidR="00000000" w:rsidRPr="00000000" w:rsidDel="00000000">
              <w:rPr>
                <w:rtl w:val="0"/>
              </w:rPr>
              <w:t xml:space="preserve"> apakšpunktā minētās izmaksas (būvju nojaukšana, teritorijas attīrīšana, autoruzraudzība, būvuzraudzība, arheoloģiskā uzraudzība, nodošana ekspluatācijā)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pieturzīmes iekavas lietojumu, tā vietā izmantojot pieturzīmi domuzīme v.tml. Vēršam uzmanību uz to, ka iekavu lietošana var padarīt tiesību normu neskaidru un apgrūtināt tās viennozīmīgu uztveri. Tāpat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ja atbalstu piešķir lielajam komersantam būtiskām pārmaiņām ražošanas procesā, attiecināmās izmaksas ir lielākas nekā izmaksas ar modernizējamo darbību saistīto aktīvu amortizācijai iepriekšējo triju fiskālo gadu laikā, bet attiecībā uz atbalstu, ko piešķir esošas uzņēmējdarbības vietas darbības dažādošanai, attiecināmās izmaksas vismaz par 200 procentiem pārsniedz atkārtoti izmantoto aktīvu uzskaites vērtību, kas reģistrēta iepriekšējā fiskālajā gadā pirms darbu sākšanas;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projekta 44.3. apakšpunktā precizēt jēdzienu "būtiskas pārmaiņas ražošanas procesā", ietverot skaidrus un izsmeļošus kritērijus, kas raksturotu būtiskas pārmaiņas ražošanas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šo noteikumu </w:t>
            </w:r>
            <w:r w:rsidR="00000000" w:rsidRPr="00000000" w:rsidDel="00000000">
              <w:rPr>
                <w:rtl w:val="0"/>
              </w:rPr>
              <w:t xml:space="preserve">31.1.8.</w:t>
            </w:r>
            <w:r w:rsidR="00000000" w:rsidRPr="00000000" w:rsidDel="00000000">
              <w:rPr>
                <w:rtl w:val="0"/>
              </w:rPr>
              <w:t xml:space="preserve">, </w:t>
            </w:r>
            <w:r w:rsidR="00000000" w:rsidRPr="00000000" w:rsidDel="00000000">
              <w:rPr>
                <w:rtl w:val="0"/>
              </w:rPr>
              <w:t xml:space="preserve">31.2.2.</w:t>
            </w:r>
            <w:r w:rsidR="00000000" w:rsidRPr="00000000" w:rsidDel="00000000">
              <w:rPr>
                <w:rtl w:val="0"/>
              </w:rPr>
              <w:t xml:space="preserve">, </w:t>
            </w:r>
            <w:r w:rsidR="00000000" w:rsidRPr="00000000" w:rsidDel="00000000">
              <w:rPr>
                <w:rtl w:val="0"/>
              </w:rPr>
              <w:t xml:space="preserve">31.3.5.</w:t>
            </w:r>
            <w:r w:rsidR="00000000" w:rsidRPr="00000000" w:rsidDel="00000000">
              <w:rPr>
                <w:rtl w:val="0"/>
              </w:rPr>
              <w:t xml:space="preserve">, </w:t>
            </w:r>
            <w:r w:rsidR="00000000" w:rsidRPr="00000000" w:rsidDel="00000000">
              <w:rPr>
                <w:rtl w:val="0"/>
              </w:rPr>
              <w:t xml:space="preserve">31.4.3.</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un </w:t>
            </w:r>
            <w:r w:rsidR="00000000" w:rsidRPr="00000000" w:rsidDel="00000000">
              <w:rPr>
                <w:rtl w:val="0"/>
              </w:rPr>
              <w:t xml:space="preserve">31.7.</w:t>
            </w:r>
            <w:r w:rsidR="00000000" w:rsidRPr="00000000" w:rsidDel="00000000">
              <w:rPr>
                <w:rtl w:val="0"/>
              </w:rPr>
              <w:t xml:space="preserve"> apakšpunktā minētās izmaksas (inženiertehniskās sistēmas un iekārtas, kas uzkrāj vai ražo enerģiju no atjaunojamiem energoresursiem, autoruzraudzība, būvuzraudzība, nodošana ekspluatācijā)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pieturzīmes iekavas lietojumu, to vietā izvēloties lietot pieturzīmi domuzīme v.tml. Vēršam uzmanību uz to, ka iekavu lietošana var padarīt tiesību normu neskaidru un apgrūtināt tās viennozīmīgu uztveri. Tāpat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 izmaksas, kas nav tieši saistītas ar augstāka vides aizsardzības līmeņa sasniegšanu, nav attiecināmas;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projekta 45.5. apakšpunktā skaidrot, kas saprotams ar jēdzienu "augstāks vides aizsardzības līmenis" un kā tiks identificēta, vērtēta augstāka vides aizsardzības līmeņa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šo noteikumu </w:t>
            </w:r>
            <w:r w:rsidR="00000000" w:rsidRPr="00000000" w:rsidDel="00000000">
              <w:rPr>
                <w:rtl w:val="0"/>
              </w:rPr>
              <w:t xml:space="preserve">31.6.</w:t>
            </w:r>
            <w:r w:rsidR="00000000" w:rsidRPr="00000000" w:rsidDel="00000000">
              <w:rPr>
                <w:rtl w:val="0"/>
              </w:rPr>
              <w:t xml:space="preserve">un </w:t>
            </w:r>
            <w:r w:rsidR="00000000" w:rsidRPr="00000000" w:rsidDel="00000000">
              <w:rPr>
                <w:rtl w:val="0"/>
              </w:rPr>
              <w:t xml:space="preserve">31.7.</w:t>
            </w:r>
            <w:r w:rsidR="00000000" w:rsidRPr="00000000" w:rsidDel="00000000">
              <w:rPr>
                <w:rtl w:val="0"/>
              </w:rPr>
              <w:t xml:space="preserve"> apakšpunktā minētās izmaksas (autoruzraudzība, būvuzraudzība, nodošana ekspluatācijā)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pieturzīmes iekavas lietojumu, to vietā izvēloties lietot pieturzīmi domuzīme v.tml. Vēršam uzmanību uz to, ka iekavu lietošana var padarīt tiesību normu neskaidru un apgrūtināt tās viennozīmīgu uztveri. Tāpat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ja attiecīgajā projektā vai projekta daļā projekta pārskata periodā (projekta dzīves cikla laikā) ir radusies lielāka peļņa no pamatdarbības, nekā projektā plānots, finansējuma saņēmējs projekta pārskata perioda (projekta dzīves cikla) beigās veic pārrēķinu un atmaksā sadarbības iestādei starpību starp faktisko un plānoto peļņu no pamatdarbības.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normatīvajā aktā nelieto sinonīmus un vienu lietu konsekventi sauc vienā un tajā pašā vārdā. Tāpat atbilstoši juridiskās tehnikas prasībām, termins ir jālieto vienā nozīmē, un tas nav aizstājams ar sinonīmiem. Ievērojot minēto, lūdzam svītrot iekavas un vārdus “projekta dzīves cikla laikā” un “projekta dzīves cikla”.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ja attiecīgajā projektā vai projekta daļā projekta pārskata periodā ir radusies lielāka peļņa no pamatdarbības, nekā projektā plānots, finansējuma saņēmējs projekta pārskata perioda beigās veic pārrēķinu un atmaksā sadarbības iestādei starpību starp faktisko un plānoto peļņu no pamatdarbības.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šo noteikumu </w:t>
            </w:r>
            <w:r w:rsidR="00000000" w:rsidRPr="00000000" w:rsidDel="00000000">
              <w:rPr>
                <w:rtl w:val="0"/>
              </w:rPr>
              <w:t xml:space="preserve">31.1.1.</w:t>
            </w:r>
            <w:r w:rsidR="00000000" w:rsidRPr="00000000" w:rsidDel="00000000">
              <w:rPr>
                <w:rtl w:val="0"/>
              </w:rPr>
              <w:t xml:space="preserve">, </w:t>
            </w:r>
            <w:r w:rsidR="00000000" w:rsidRPr="00000000" w:rsidDel="00000000">
              <w:rPr>
                <w:rtl w:val="0"/>
              </w:rPr>
              <w:t xml:space="preserve">31.6.</w:t>
            </w:r>
            <w:r w:rsidR="00000000" w:rsidRPr="00000000" w:rsidDel="00000000">
              <w:rPr>
                <w:rtl w:val="0"/>
              </w:rPr>
              <w:t xml:space="preserve"> un </w:t>
            </w:r>
            <w:r w:rsidR="00000000" w:rsidRPr="00000000" w:rsidDel="00000000">
              <w:rPr>
                <w:rtl w:val="0"/>
              </w:rPr>
              <w:t xml:space="preserve">31.7.</w:t>
            </w:r>
            <w:r w:rsidR="00000000" w:rsidRPr="00000000" w:rsidDel="00000000">
              <w:rPr>
                <w:rtl w:val="0"/>
              </w:rPr>
              <w:t xml:space="preserve"> apakšpunktā minētās izmaksas (būvju nojaukšana, teritorijas attīrīšana, autoruzraudzība, būvuzraudzība, arheoloģiskā uzraudzība, nodošana ekspluatācijā) ir attiecināmas, ja tās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pieturzīmes iekavas lietojumu, to vietā izvēloties lietot pieturzīmi domuzīme v.tml. Vēršam uzmanību uz to, ka iekavu lietošana var padarīt tiesību normu neskaidru un apgrūtināt tās viennozīmīgu uztveri. Tāpat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projekta iesniedzējs visus plānotos ieņēmumus (arī no projekta ietvaros izbūvētās infrastruktūras pārdošanas, ja tā tiek plānota projekta pārskata perioda (projekta dzīves cikla) laikā) atspoguļo finanšu iztrūkuma aprēķinā;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iekavas un vārdus “projekta dzīves cikla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47.6. projekta iesniedzējs visus plānotos ieņēmumus (arī no projekta ietvaros izbūvētās infrastruktūras pārdošanas, ja tā tiek plānota projekta pārskata perioda laikā) atspoguļo finanšu iztrūkuma aprēķinā;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47.7. ja attiecīgajā projektā vai projekta daļā projekta pārskata periodā (projekta dzīves cikla laikā) ir radusies lielāka peļņa no pamatdarbības, nekā projektā plānots, finansējuma saņēmējs projekta pārskata perioda (projekta dzīves cikla) beigās veic pārrēķinu un atmaksā sadarbības iestādei starpību starp faktisko un plānoto peļņu no pamatdarbības.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iekavas un vārdus “projekta dzīves cikla laikā” un “projekta dzīves cikla”.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48.3. finansējuma saņēmēja – publiskas personas zemes īpašumā uz apbūves tiesības pamata, ja apbūves tiesība ir iegūta uz termiņu, kas nav īsāks par 10 gadiem un līgums par apbūves tiesību paredz publiskas personas zemes īpašuma izpirkšanu.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nepieciešamību ietvert nosacījumu, ka līgums par apbūves tiesību paredz publiskas personas zemes īpašuma izpirkšanu. Līgumā jāparedz iespēju izpirkt vai pienākumu izpirkt?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kāpēc, piemēram, 48.2. apakšpunktā nav noteiks, ka saderības partnerim ir pienākums līgumā ietvert īpašuma izpirkšanas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privātpersonai – publiski privātai kapitālsabiedrībai, pašvaldības kapitālsabiedrībai, kas veic pašvaldības deleģēto pārvaldes uzdevumu izpildi – savā īpašumā vai pārvaldes uzdevumu izpildei lietošanā nodotajā publiskajā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apakšpunktu ar minimālo īpašuma lietošanas tiesību termiņu, tādējādi padarot prasību jēgpilnu.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49.4.3. saņēmēja – publiskas personas zemes īpašumā uz apbūves tiesības pamata, ja apbūves tiesība ir iegūta uz termiņu, kas nav īsāks par 10 gadiem un līgums par apbūves tiesību paredz publiskas personas zemes īpašuma izpirkšanu.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nepieciešamību ietvert nosacījumu, ka līgums par apbūves tiesību paredz publiskas personas zemes īpašuma izpirkšanu. Līgumā jāparedz iespēju izpirkt vai pienākumu izpirkt?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kāpēc 49.4.2. apakšpunktā nav noteiks, ka saderības partnerim ir pienākums līgumā ietvert īpašuma izpirkšanas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Finansējuma saņēmējs – atbalsta saņēmējs un sadarbības partneris nodrošina, ka ar komercdarbības atbalstu saistīto projekta dokumentāciju glabā 10 gadus, sākot no dienas, kad piešķirts komercdarbības atbalsts saskaņā ar šiem noteikumiem. Atbalsta sniedzējs informāciju un apliecinošos dokumentus par sniegto komercdarbības atbalstu glabā 10 gadus no dienas, kad piešķirts pēdējais atbalsts saskaņā ar šiem noteikumiem. Ja komercdarbības atbalstu sniedz saskaņā ar regulas Nr. 651/2014 41., 48. vai 56. pantu, finansējuma saņēmējs – atbalsta saņēmējs un sadarbības partneris nodrošina, ka ar komercdarbības atbalstu saistīto projekta dokumentāciju glabā atbilstoši noteiktajam projekta pārskata periodam (projekta dzīves ciklam).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iekavas un vārdus “projekta dzīves cikla laikā” un “projekta dzīves ciklam”.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komercdarbības atbalstu sniedz saskaņā ar regulas Nr. 651/2014 41., 48. vai 56. pantu, sadarbības iestāde nodrošina projekta uzraudzību projekta pārskata periodā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svītrot iekavas un vārdus “projekta dzīves ciklā”.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12.04.2023. 08.51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12.04.2023. 08.51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