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2.2. reformu un investīciju virziena “Uzņēmumu digitālā transformācija un inovācijas” 2.2.1.5.i. investīcijas “Mediju nozares uzņēmumu digitālās transformācijas veicināšana” pasākuma “Mediju nozares uzņēmumu procesu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mērķrādītājs ir līdz 2025. gada 30. jūnijam izveidotas vismaz trīs digitālās platformas vai digitālie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5.1.apakšpunktu, svītrojot vārdu “vismaz”. Pamatojums - lai nodrošinātu nepārprotamu  sasniedzamā rādītāja vērtību (t.sk. redakciju) saskaņā ar Padomes 2023.gada 16.novembra īstenošanas lēmuma ar ko groza 2021. gada 13. jūlija īstenošanas lēmumu (ES) (ST 10157/21 INIT; ST 10157/21 ADD 1) par Latvijas Atveseļošanas un noturības plāna novērtējuma apstiprināšanu, mērķrādītāju Nr.53 “Izveidoto platformu un digitālo risinājumu skaits”  - paredzēts izveidot 3 platformas vai digitālos risinājumus (nevis vismaz 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iesniedzējs neatbilst neprecizējamam vispārējās atbilstības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specifiskais atbilstības kritērijs Nr. 3.3. ir neprecizējams, lūdzam papildināt noteikumu projekta 34.2. apakšpunktu izsakot to zemāk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iesniedzējs neatbilst neprecizējamam vispārīgajam atbilstības kritērijam vai neprecizējamam specifiskajam atbilstības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Aģentūras lēmumu par projekta iesnieguma apstiprināšanu, apstiprināšanu ar nosacījumu vai noraidīšanu mēneša laikā var apstrīdēt Finanšu ministrijā. Savukārt Finanšu ministrijas izdoto administratīvo aktu var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36.punkta pirmajā teikumā aiz vārdiem "Finanšu ministrijā" papildināt ar vārdiem "kā Atveseļošanas fonda plāna koordinators".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Aģentūrai investīcijas pasākuma īstenošanai un uzraudzībai šo noteikumu ietvaros ir tiesības pieprasīt un saņemt informāciju no valsts informācijas sistēmām normatīvajos aktos par valsts informācijas sistēmām noteiktajā apjomā. Lai nodrošinātu pieeju datiem, aģentūra vai Kultūras ministrija, ja nepieciešams, slēdz vienošanos ar attiecīgās valsts informācijas sistēmas, datubāzes vai reģistra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42. punkta otro teikumu, svītrojot vārdus "vai Kultūras ministrija", ņemot vērā, ka no minētā punkta pirmā teikuma izriet, ka tiesības pieprasīt un saņemt informāciju no valsts informācijas sistēmām tiek paredzētas tikai Aģentūrai.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12.01.2024. 08.38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12.01.2024. 08.38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Atzinumi_23-TA-2953.docx</dc:title>
</cp:coreProperties>
</file>

<file path=docProps/custom.xml><?xml version="1.0" encoding="utf-8"?>
<Properties xmlns="http://schemas.openxmlformats.org/officeDocument/2006/custom-properties" xmlns:vt="http://schemas.openxmlformats.org/officeDocument/2006/docPropsVTypes"/>
</file>