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23-TA-2961: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papildināt anotāciju ar informāciju, ka pretgaisa aizsardzības sistēmas ir valsts budžeta valsts nozīmes prioritārais pasākums 2023. gadam un budžeta ietvaram 2023., 2024. un 2025. gadam saskaņā ar Ministru kabineta sēdes protokollēmuma (2023. gada 13. janvāra prot. Nr. 2, 1. §) 2. un 4.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papildināt anotāciju ar informāciju par plānoto finansējuma izlietojumu pa gadiem, kā arī par plānoto piegāžu grafiku un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Blauberga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finansējums 200 00 00 euro apmērā pretgaisa aizsardzības sistēmu iegādei ir plānots budžeta resora “74. Gadskārtējā valsts budžeta izpildes procesā pārdalāmais finansējums” programmā 18.00.00 “Finansējums valsts drošības stiprināšanas pasākumiem” un līdz šim nav bijis plānots AM budžetā, lūdzam precizēt anotācijas 3.punkta tabulu, pārdalāmo summu Aizsardzības ministrijai norādot trešajā ailē “2023 izmaiņas kārtējā gadā, salīdzinot ar valsts budžeta kārtējam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Egita Birziņa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FM rīcībā esošās informācijas nav iespējams precīzi novērtēt ietekmi uz vispārējās valdības budžeta bilanci, aicinām precizēt informāciju sadaļā Cita informācija, svītrojot 2023. gadu: Izdevumi 200 milj. euro apmērā plānoti kā vispārējās valdības budžeta izdevumi </w:t>
            </w:r>
            <w:r w:rsidR="00000000" w:rsidRPr="00000000" w:rsidDel="00000000">
              <w:rPr>
                <w:b w:val="1"/>
                <w:rtl w:val="0"/>
              </w:rPr>
              <w:t xml:space="preserve">2023. gadā</w:t>
            </w:r>
            <w:r w:rsidR="00000000" w:rsidRPr="00000000" w:rsidDel="00000000">
              <w:rPr>
                <w:rtl w:val="0"/>
              </w:rPr>
              <w:t xml:space="preserve">, kas kā vienreizējie izdevumi valsts aizsardzībai un iekšējai drošībai saskaņā ar likuma “Par valsts budžetu 2023. gadam un budžeta ietvaru 2023., 2024. un 2025. gadam” 5. panta 3. punkta c apakšpunktu tiek izslēgti no vispārējās valdības budžeta strukturālās bilances mērķa.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200 milj. euro apmērā plānoti kā vispārējās valdības budžeta izdevumi, kas kā vienreizējie izdevumi valsts aizsardzībai un iekšējai drošībai saskaņā ar likuma “Par valsts budžetu 2023. gadam un budžeta ietvaru 2023., 2024. un 2025. gadam” 5. panta 3. punkta c apakšpunktu tiek izslēgti no vispārējās valdības budžeta strukturālās bilances mērķa.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Blauberga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izdevumi, kas saistīti ar pretgaisa aizsardzības sistēmu iegādi,  2023.-2027. gadā ir uzskatāmi par vienreizējo pasākumu likuma “Par valsts budžetu 2023. gadam un budžeta ietvaru 2023., 2024. un 2025. gadam” 5.panta 3.punkta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atsauce ir uz likuma “Par valsts budžetu 2023. gadam un budžeta ietvaru 2023., 2024. un 2025. gadam” 5.panta 3.punktu, aicinām precizēt protokollēmuma tekstu, labojot 2027. gadu uz 2025. gadu.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izdevumi, kas saistīti ar pretgaisa aizsardzības sistēmu iegādi,  2023.-2025. gadā ir uzskatāmi par vienreizējo pasākumu likuma “Par valsts budžetu 2023. gadam un budžeta ietvaru 2023., 2024. un 2025. gadam” 5.panta 3.punkta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Blauberga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23-TA-2961</w:t>
    </w:r>
    <w:r>
      <w:br/>
    </w:r>
    <w:r w:rsidR="00000000" w:rsidRPr="00000000" w:rsidDel="00000000">
      <w:rPr>
        <w:rtl w:val="0"/>
      </w:rPr>
      <w:t xml:space="preserve">Izdrukāts 23.11.2023. 18.32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23-TA-2961</w:t>
    </w:r>
    <w:r>
      <w:br/>
    </w:r>
    <w:r w:rsidR="00000000" w:rsidRPr="00000000" w:rsidDel="00000000">
      <w:rPr>
        <w:rtl w:val="0"/>
      </w:rPr>
      <w:t xml:space="preserve">Izdrukāts 23.11.2023. 18.32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Atzinumi_23-TA-2961.docx</dc:title>
</cp:coreProperties>
</file>

<file path=docProps/custom.xml><?xml version="1.0" encoding="utf-8"?>
<Properties xmlns="http://schemas.openxmlformats.org/officeDocument/2006/custom-properties" xmlns:vt="http://schemas.openxmlformats.org/officeDocument/2006/docPropsVTypes"/>
</file>