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anotācijā sniegtā skaidrojuma nerodas pārliecība, kā noteikumu projekta 4. punktā paredzētā rādītāja vērtības palielināšana sader ar tiesiskās paļāvības principu un nav skaidrs, kā tā ietekmēs jau izsniegto atbalstu un finansējuma saņēmēju pirmās projekta iesniegumu atlases kārtas ietvaros. Tiesiskās paļāvības princips noteic, ka privātpersona var paļauties, ka iestādes rīcība ir tiesiska un konsekventa, tai skaitā persona var paļauties, ka tā noteiktajā laikā varēs īstenot tai iegūtās tiesības. Satversmes tiesa ir norādījusi (sk. </w:t>
            </w:r>
            <w:r w:rsidR="00000000" w:rsidRPr="00000000" w:rsidDel="00000000">
              <w:rPr>
                <w:i w:val="1"/>
                <w:rtl w:val="0"/>
              </w:rPr>
              <w:t xml:space="preserve">2009. gada 26. novembra spriedumu lietā Nr. 2009-08-01</w:t>
            </w:r>
            <w:r w:rsidR="00000000" w:rsidRPr="00000000" w:rsidDel="00000000">
              <w:rPr>
                <w:rtl w:val="0"/>
              </w:rPr>
              <w:t xml:space="preserve">),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anotācijā izvērsti skaidrot, kā minētais grozījums ietekmēs finansējuma saņēmēju, tai skaitā, vai atbalstu saņēmusī persona ir informēta par iespējamo grozījumu un tā brīvprātīgi piekritusi šādam grozījumam.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pēc Eiropas Komisijas lēmuma par Atveseļošanas un noturības mehānisma plāna grozījumu apstiprināšanu, attiecināt no valsts budžeta līdzekļiem izmaksāto avansu uz Atveseļošanas fonda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Eiropas Parlamenta un Padomes 2021. gada 12. februāra Regulas (ES) 2021/241, ar ko izveido Atveseļošanas un noturības mehānismu, 21. pantam Komisija pozitīva lēmuma gadījumā par dalībvalsts pieprasījumu grozīt atveseļošanas un noturības plānu var vienīgi ierosināt grozīt Padomes īstenošanas lēmumu, nevis apstiprināt minētā lēmuma grozījumus, lūdzam attiecīgi precizēt lēmuma projektu, tostarp lūdzam precizēt lēmuma projekta 4.3. apakšpunktu, paredzot, ka izmaksas ir attiecināmas no Atveseļošanas fonda līdzekļiem ar brīdi, kad stājas spēkā attiecīgs Padomes īstenošanas lēmums par Atveseļošanas un noturības mehānisma plāna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līdz 2026. gada 31. augustam sasniedzamais mērķis: izbūvēta Rīgas Centrālā dzelzceļa stacija;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pēc vārda "stacija" papildināt ar vādiem "dienvidu daļa", salāgojot ar noteikumu projekta 2. 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Atbalstu finansējuma saņēmējam nesniedz, ja tas ir kādā no Eiropas Parlamenta un Padomes 2018. gada 18. jūlija Regulas (ES, Euratom) Nr.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Nr.541/2014/ES un atceļ Regulu (ES, Euratom) Nr. 966/2012 (turpmāk – regula Nr. 2018/1046), 136. pantā "Izslēgšanas kritēriji un lēmumi par izslēgšanu" noteiktajām izslēgšanas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Nr.541/2014/ES un atceļ Regulu (ES, Euratom) Nr. 966/2012, ir zaudējusi spēku, lūdzam precizēt un atsaukties uz Eiropas Parlamenta un Padomes 2024. gada 23. septembra Regulu (ES, Euratom) 2024/2509 par finanšu noteikumiem, ko piemēro Savienības vispārējam budžetam.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Satiksmes ministrija 10 darbdienu laikā pēc šo noteikumu stāšanās spēkā nosūta finansējuma saņēmējam uzaicinājumu iesniegt projekta iesniegumu Satiksmes ministrijas noteiktajā termiņā un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kā paredzēts iesniegt projekta iesniegumu otrās projektu iesniegumu atlases kārtas ietvaros. Nepieciešamības gadījumā lūdzam nodrošināt precizējumu veikšanu Ministru kabineta 2023. gada 11. aprīļa noteikumu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 21. punktā, paredzot uzaicinājumu nosūtīšanas kārtību otrās projektu iesniegumu atlases 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24-TA-2705</w:t>
    </w:r>
    <w:r>
      <w:br/>
    </w:r>
    <w:r w:rsidR="00000000" w:rsidRPr="00000000" w:rsidDel="00000000">
      <w:rPr>
        <w:rtl w:val="0"/>
      </w:rPr>
      <w:t xml:space="preserve">Izdrukāts 22.01.2025.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24-TA-2705</w:t>
    </w:r>
    <w:r>
      <w:br/>
    </w:r>
    <w:r w:rsidR="00000000" w:rsidRPr="00000000" w:rsidDel="00000000">
      <w:rPr>
        <w:rtl w:val="0"/>
      </w:rPr>
      <w:t xml:space="preserve">Izdrukāts 22.01.2025.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Atzinumi_24-TA-2705.docx</dc:title>
</cp:coreProperties>
</file>

<file path=docProps/custom.xml><?xml version="1.0" encoding="utf-8"?>
<Properties xmlns="http://schemas.openxmlformats.org/officeDocument/2006/custom-properties" xmlns:vt="http://schemas.openxmlformats.org/officeDocument/2006/docPropsVTypes"/>
</file>