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 pievieno Vides aizsardzības un reģionālās attīstības ministrijas 03.12.2020. vēstuli, kurā norādīta ministrijas apņemšanās izpildīt panākto vienošānos noteikt mērķlielumus ietekmes uz vidi novērtējuma piemērošanai ievērojot Eiropas parlamenta un padomes 13.12.2011. Direktīvu 2011/92/ES, kas nosaka ietekmes uz vidi novērtēšanas procedūras piemērošanai naftas un dabasgāzes ieguvei, ja iegūtais dauduzums pārsniedz noteikto apjomu dienā. Diemžēl, šobrīd Klimata un enerģētikas ministrija bezpamatojums joprojām atliek jautājuma izskatīšanu, kaut gan 2020.gada norādīja, ka jautājums ir procesā (skatīt zēmāk). Lūdzam nekavējoties iekļaut esošā likumprojekta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1-17/10781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77/20/N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“Baltijas ogļūdeņražu izpētes un ieguves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saņemtajiem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izvērtējusi    biedrības “Baltijas ogļūdeņražu izpētes un ieguves asociācija” (turpmāk – asociācija) 2020.gada 5.novembrī saņemto vēstuli Nr.77/20/N par saņemtajiem priekšlikumiem pēc notikušās ministrijas un asociācijas attālinātās sanāksmes 2020.gada 23.oktobrī.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 un norāda, ka tos pieņem zināšanai, kā arī par ierosinājumiem saistībā ar ietekmes uz vidi novērtējumu ir informējusi Vides pārraudzības valsts biroju (turpmāk – Birojs). Ministrija vienlaikus sniedz atbildes uz asociācijas 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norāda, ka </w:t>
            </w:r>
            <w:r w:rsidR="00000000" w:rsidRPr="00000000" w:rsidDel="00000000">
              <w:rPr>
                <w:b w:val="1"/>
                <w:rtl w:val="0"/>
              </w:rPr>
              <w:t xml:space="preserve">2020.gada 23.oktobra sanāksmē jau informēja, ka likuma “Par ietekmes uz vidi novērtējumu” grozījumi tiks izstrādāti pēc Eiropas Komisijas izvērtējuma, kas </w:t>
            </w:r>
            <w:r w:rsidR="00000000" w:rsidRPr="00000000" w:rsidDel="00000000">
              <w:rPr>
                <w:b w:val="1"/>
                <w:u w:val="single"/>
                <w:rtl w:val="0"/>
              </w:rPr>
              <w:t xml:space="preserve">dotajā mirklī ir procesā</w:t>
            </w:r>
            <w:r w:rsidR="00000000" w:rsidRPr="00000000" w:rsidDel="00000000">
              <w:rPr>
                <w:b w:val="1"/>
                <w:rtl w:val="0"/>
              </w:rPr>
              <w:t xml:space="preserve">. </w:t>
            </w:r>
            <w:r w:rsidR="00000000" w:rsidRPr="00000000" w:rsidDel="00000000">
              <w:rPr>
                <w:rtl w:val="0"/>
              </w:rPr>
              <w:t xml:space="preserve">Ministrija šobrīd nevar norādīt konkrētu laiku, kad tiks plānoti grozījumi likumā “Par ietekmes uz vidi novērtējumu”. Vienlaikus vēršam uzmanību, ka asociācijas priekšlikumus saistībā ar 1.pielikumā paredzētās darbības iekļaušanu ar konkrētu kritēriju pieņemam un likumprojektā iekļausim, kā arī par to tiks diskutēts saskaņošanas procesā. Informēsim asociāciju par likumprojekta “Par ietekmes uz vidi novērtējuma” uzsākšanas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Jautājumā par ietekmes uz vidi novērtējuma vadlīnijām norādām, ka ietekmes uz vidi novērtējuma ziņojumā iekļaujamā informācija ir skaidrota Ministru kabineta 2015.gada 13.janvāra noteikumu Nr.18 “Kārtība, kādā novērtē paredzētās darbības ietekmi uz vidi un akceptē paredzēto darbību” 2.pielikumā.  Turklāt gadījumos, kad ir uzsākts ietekmes uz vidi novērtējums paredzētās darbības ierosinātājam atbilstoši likuma “Par ietekmes uz vidi novērtējumu” 16.pantam Birojs izsniedz programmu, kurā tiek skaidrots, kāda informācija, kādā apjomā un kādu normatīvo aktu prasības ievērojot, ziņojumā iekļaujama. Papildus aicinām izmantot Eiropas Komisijas 2017.gadā izdotās vadlīnijas par ietekmes uz vidi novērtējuma ziņojumu  “Environmental Impact Assessment of Projects Guidance on the preparation of the Environmental Impact Assessment Report” (pieejams: https://ec.europa.eu/environment/eia/pdf/EIA_guidance_EIA_report_final.pdf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ietekmes uz vidi novērtējumu atbilstoši likumam “Par ietekmes uz vidi novērtējumu” koordinē un pārrauga Birojs, norādām, ka </w:t>
            </w:r>
            <w:r w:rsidR="00000000" w:rsidRPr="00000000" w:rsidDel="00000000">
              <w:rPr>
                <w:b w:val="1"/>
                <w:rtl w:val="0"/>
              </w:rPr>
              <w:t xml:space="preserve">Biroja darbības stratēģijā 2020.- 2022.gadam</w:t>
            </w:r>
            <w:r w:rsidR="00000000" w:rsidRPr="00000000" w:rsidDel="00000000">
              <w:rPr>
                <w:rtl w:val="0"/>
              </w:rPr>
              <w:t xml:space="preserve"> viens no izvirzītajiem uzdevumiem ir noteikt un īstenot pasākumus, kas nepieciešami, lai nodrošinātu ietekmes uz vidi novērtējuma, stratēģiskā ietekmes novērtējuma un ietekmes uz Eiropas nozīmes īpaši aizsargājamo dabas teritoriju (Natura 2000) novērtējuma kvalitātes uzlabošanu un vienādošanu, kas nozīmē arī</w:t>
            </w:r>
            <w:r w:rsidR="00000000" w:rsidRPr="00000000" w:rsidDel="00000000">
              <w:rPr>
                <w:b w:val="1"/>
                <w:rtl w:val="0"/>
              </w:rPr>
              <w:t xml:space="preserve"> izvērtēt nepieciešamās papildus rīcības, lai pilnveidotu dialogu ar ietekmes uz vidi novērtējuma procedūrās iesaistītajām pusēm</w:t>
            </w:r>
            <w:r w:rsidR="00000000" w:rsidRPr="00000000" w:rsidDel="00000000">
              <w:rPr>
                <w:rtl w:val="0"/>
              </w:rPr>
              <w:t xml:space="preserve">. Minētā pasākuma izstrādē Birojs ir informējis ministriju, ka </w:t>
            </w:r>
            <w:r w:rsidR="00000000" w:rsidRPr="00000000" w:rsidDel="00000000">
              <w:rPr>
                <w:b w:val="1"/>
                <w:u w:val="single"/>
                <w:rtl w:val="0"/>
              </w:rPr>
              <w:t xml:space="preserve">ņems vērā arī iesaistīto pušu izteiktos priekšlikumus, tai skaitā asociācijas priekšlikumu</w:t>
            </w:r>
            <w:r w:rsidR="00000000" w:rsidRPr="00000000" w:rsidDel="00000000">
              <w:rPr>
                <w:rtl w:val="0"/>
              </w:rPr>
              <w:t xml:space="preserve"> izstrādāt vadlīnijas vai apkopot skaidrojumus un prakses piemērus saistībā ar tipiskākajiem procesa problēmjautājumiem.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Jautājumā par sistēmas izveidošanu pēc kuras valsts institūciju darbinieki varētu pārbaudīt ietekmes uz vidi novērtējuma ziņojuma prasību izpildi, kā arī nodrošināt, lai prasības ziņojumam nevarētu tikt bezgalīgi papildinātas, norādām, ka ietekmes uz vidi novērtējuma gaitā var tikt atklāti jauni apstākļi, kas var norādīt uz to, ka izmaiņas ir jāveic, turklāt ietekmes uz vidi novērtējuma procesā ir iesaistīta sabiedrība, kurai ierosinātājam ir jāskaidro, kādas ir paredzētās darbības ietekmes. Vienlaikus norādām, ka atbilstoši ministrijas rīcībā esošajai informācijai Birojs vienmēr ir bijis atvērts sadarbībai un, gadījumā, ja asociācijai ir nācies saskarties ar kādām neskaidrībām saistībā ar ietekmes uz vidi novērtējumu, tā var vērsties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 pateicas par Jūsu priekšlikumu papildināt Ministru kabineta 2010.gada 30.novembra noteikumu Nr.1082 “Kārtība, kādā piesakāmas A, B un C kategorijas piesārņojošas darbības un izsniedzamas atļaujas A, B un C kategorijas piesārņojošo darbību veikšanai”  (turpmāk - MK noteikumi Nr.1082) 1.pielikuma 1.8.apakšpunktu ar  jaudas slieksni – 10 000 tonnu gadā, kā arī par priekšlikumu ogļūdeņražu ieguvei sauszemē no 500 līdz 10 000 tonnām gadā piemērot C kategorijas piesārņojošas darbības reģistrāciju.   Vienlaikus informējam, ka šobrīd nav plānots veikt grozījumus MK noteikumos Nr.1082. Līdz ko tiks uzsākts darbs pie MK noteikumu Nr.1082 aktualizēšanas, Jūsu sniegtais priekšlikums tiks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jautājumos                                                               Alda Ozola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Balka 67026916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Šmerliņa 67026578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DOKUMENTS IR ELEKTRONISKI PARAKSTĪTS AR DROŠU ELEKTRONISKO PARAKSTU UN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09.04.2025. 18.25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09.04.2025. 18.25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