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Konvencijā par personu ar invaliditāti tiesībām ( turpmāk - Konvencija) ir noteikts, ka "komunikācija" ietver valodu, tekstu, Braila raksta, taustes komunikācijas, liela izmēra rakstu zīmju un piekļūstamu multivides līdzekļu izmantošanu, kā arī pastiprinošus un alternatīvus komunikācijas veidus, līdzekļus un formātus, kam izmanto rakstiskus palīglīdzekļus, audio palīglīdzekļus, vieglo valodu, priekšā lasītāju, tostarp piekļūstamās informācijas un komunikācijas tehnoloģijas.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Konvencijā noteikto un arī izpildītu regulas 2021/1060  9.pantā noteikto piekļūstamības principu personām ar invaliditāti, lūdzam papildināt MKN ar jaunu punktu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t.sk. indukcijas cilpu nomas, zīmju valodas tulku un vieglās valodas tulkošanas pakalpojumu izmaksas, subtitrēšanas un reāllaika transkripcijas pakalpojumu izmaksas, ja tas ir nepieciešams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terminu “pieejamība” aizstāt ar terminu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Poļina Rožkova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