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līdz 2024. gada 31. decembrim iznākuma rādītājs: noslēgto līgumu par projektu īstenošanu īpatsvars par ieguldījumiem kultūras un tūrisma objektos – 10 procenti;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šāds rādītājs nav iekļauts Eiropas Savienības kohēzijas politikas programmā 2021.–2027. gadam, lūdzam to svītrot vai precizēt tā nosaukumu uz nacionālo rādītāju un papildināt anotāciju ar informāciju kā aprēķināmas rādītāja sasniegtās vērtības. Tāpat lūdzam precizēt šī rādītāja sasniegšanas termiņu, ja no anotācijā iekļautās informācijas pareizi secināms, ka atlasi plānots izsludināt tikai pēc Eiropas Komisijas lēmuma par vidusposma pārskatu - t.i. ne agrāk kā 2026.gadā.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Starptautiskās kultūras pieminekļu un ievērojamu vietu padomes izstrādātos kvalitātes principus Eiropas Savienības finansētiem pārveidojumiem, kas var ietekmēt kultūras mantojumu.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projekta 29.2.apakšpunktu par Starptautiskās kultūras pieminekļu un ievērojamu vietu padomes izstrādātiem kvalitātes principiem vai sniegt šādu informāciju MKN anotācijā, proti, kādi ir šie kvalitātes principi un kā tie ir vērtējami. Vēršam uzmanību, ka 5.1.1.6. pasākuma kritērijos un to piemērošanas metodikā nav iekļauta informācija par Starptautiskās kultūras pieminekļu un ievērojamu vietu padomes izstrādāto kvalitātes principu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Blumberga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Atbalstāmo darbību un izmaksu attiecināmības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noteikumu projekts paredz vienkāršotās izmaksas piemērot personāla izmaksām un netiešajām izmaksām, aicinām izvērtēt vienkāršoto izmaksu izstrādes iespējas arī kādām no pārējām plānotajām darbībām vai izmaksām. Ja izstrādāt vienkāršotās izmaksas nav iespējams vai tas ir nelietderīgi no samērīguma viedokļa šajā pasākumā,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vadības un īstenošanas personāla izmaksas, kuras saskaņā ar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68.a panta 1. punktu projekta iesniegumā plāno kā vienu izmaksu pozīciju, piemērojot izmaksu vienoto likmi 5 procentu apmērā no projekta tiešajām attiecināmajām izmaksām, bet neieskaitot tiešās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35.1. apakšpunktā norādīto regulu uz aktuālo Eiropas Savienības fondu 2021.-2027.gada plānošanas perioda tiesisko regulējumu. Vēršam uzmanību, ka noteikumu projekts izstrādāts, pamatojoties uz Eiropas Savienības fondu 2021.—2027. gada plānošanas perioda vadības likumu, kas izstrādāts saskaņā ar Eiropas Parlamenta un Padomes 2021.gada 24.jūnija Regulu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un attiecīgi būtu jānorāda šī regula, jo nav juridiski korekti norādīt regulu, kas nosaka nosacījumus Eiropas Savienības struktūrfondu un Kohēzijas fonda 2014.-2020.gada plānošanas periodam. Vienlaikus lūdzam atbilstoši precizēt anotācijas 5.4.sadaļas 1. tabulu "Tiesību akta projekta atbilstība ES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vadības un īstenošanas personāla izmaksas, kuras saskaņā ar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68.a panta 1. punktu projekta iesniegumā plāno kā vienu izmaksu pozīciju, piemērojot izmaksu vienoto likmi 5 procentu apmērā no projekta tiešajām attiecināmajām izmaksām, bet neieskaitot tiešās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izmaksu likmes apmēru saskaņot ar Finanšu ministriju kā ES fondu vadošo iestādi, kā arī norādīt likmes apmēra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35.2.7. ekspertu izmaksas, kas tieši saistītas ar investīcijām infrastruktūrā, būvuzraudzības, autoruzraudzības un arheoloģiskās uzraudzības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informēt, vai noteikumu projekta 35.2.7. un 35.8.2.apakšpunktā minētās ekspertu izmaksas ir uzskatāmas par projekta īstenošanas personālu un vai minētos ekspertus ir plānots piesaistīt caur ārpakalpojumu. Nepieciešamības gadījumā lūdzam pārskatīt precizējumu nepieciešamību minētajos noteikumu projekta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 projektam nav saimnieciska rakstura, jo pašu ieņēmumi atbalstītajā objektā ir 50 procenti vai mazāki par 50 procentiem no kultūras jomas pakalpojumu sniedzēja gada budžeta atbalstītajā objektā;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42.1.apakšpunktu, tā beigas papildinot ar vārdiem "projekta pārskata periodā</w:t>
            </w:r>
            <w:r w:rsidR="00000000" w:rsidRPr="00000000" w:rsidDel="00000000">
              <w:rPr>
                <w:rtl w:val="0"/>
              </w:rPr>
              <w:t xml:space="preserve">", jo šāda veida projektus nepieciešams uzraudzīt visā tā pārskata periodā.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atbalstāmā darbība atbilst vienam vai vairākiem regulas Nr. 651/2014 53. panta 2. punkta “a”, “b”, “c”, “d” vai “e” apakšpunktā norādītajiem mērķiem un darbībām un ir ievēroti regulas Nr. 651/2014 1. panta 2. punkta “c” un “d” apakšpunktā, 3. punktā un 4. punkta “a” apakšpunktā minētie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piemēram, Komisijas regulas Nr.651/2014 1.panta 4.punkta un 2.panta 18.punkta nosacījumi ir jāvērtē/jāpiemēro uzņēmuma grupas līmenī (Komisijas regulas Nr.651/2014 angliskajā versijā nosacījumi, kas ir attiecināmi uz ‘</w:t>
            </w:r>
            <w:r w:rsidR="00000000" w:rsidRPr="00000000" w:rsidDel="00000000">
              <w:rPr>
                <w:b w:val="1"/>
                <w:rtl w:val="0"/>
              </w:rPr>
              <w:t xml:space="preserve">undertaking</w:t>
            </w:r>
            <w:r w:rsidR="00000000" w:rsidRPr="00000000" w:rsidDel="00000000">
              <w:rPr>
                <w:rtl w:val="0"/>
              </w:rPr>
              <w:t xml:space="preserve">’, ir jāpārbauda/jāpiemēro uzņēmuma grupas līmenī), lūdzam noteikumu projekta 44.1. un 25.1. apakšpunktus precizēt, lai nodrošinātu, ka ar terminu "finansējuma saņēmējs" tiek saprasts, ka finansējuma saņēmējs tiek vērtēts grupas līmenī, kā arī pārskatīt pārējos noteikumu punktus. Vienlaikus ar atbilstošu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sadarbības iestāde atbalstītajā objektā konstatē komercdarbības atbalstu, tā par to informē finansējuma saņēmēju. Finansējuma saņēmējs 10 darbdienu laikā no informācijas pieprasījuma nosūtīšanas brīža sniedz sadarbības iestādei informāciju, norādot, vai par tām pašām attiecināmajām izmaksām ir plānots piešķirt atbalstu vai, ja tas jau ir piešķirts, norādot atbalsta piešķiršanas datumu, atbalsta sniedzēja nosaukumu, atbalsta pasākumu, plānoto vai piešķirto atbalsta summu un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punktu dzēst vai skaidrot, kā jau īstenotā projektā, par kuru jau ir piešķirts finansējums kā ar saimniecisko darbību nesaistītam projektam, varētu rasties situācija, ka kāds cits vēl plāno piešķirt atbalstu par tām pašām izmaksām vai arī tas ir jau piešķirts.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minētais punkts jāattiecina projekta atlases laikā, tad skaidrojam, ka atlases laikā saziņa ar projekta iesniedzēju tiek veikta atbilstoši citos normatīvajos aktos noteiktajiem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anotācijā nav konstatējama informācija par Jaunā Eiropas BAUHAUS principu piemērošanu, lai gan MKN projektā ir iekļauts 29.1.apakšpunkts par tā nodrošināšanu. Vēršam uzmanību, ka  5.1.1.5. pasākuma un 5.1.1.7. pasākuma saistošo MKN anotācijās Bauhaus nepieciešamība ir skaidrota. BAUHAUS principu piemērošana kā specifiskais atbilstības kritērijs ir iekļauts 5.1.1.6. pasākuma kritērijos un kritēriju piemērošanas metodikā.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Blumberga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Kultūras ministrijas ierosinātie grozījumi Eiropas Savienības Kohēzijas politikas programmā 2021.-2027.gadam, kas paredz samazināt 5.1.1.specifiskā atbalsta mērķa "Vietējās teritorijas integrētās sociālās, ekonomiskās un vides attīstības un kultūras mantojuma, tūrisma un drošības veicināšana pilsētu funkcionālajās teritorijās" Kultūras ministrijā pārziņā esošo investīciju iznākuma rādītāja RCO 77 “Atbalstīto kultūras un tūrisma objektu skaits” sasniedzamo vērtību, vēl nav apstiprināti nacionālā līmenī un secīgi Eiropas Komisijā, lūdzam papildināt protokollēmuma projektu ar jaunu punktu piedāvātajā redakcijā, kā arī izsekojamībai izvērstāku informāciju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ministrijai informēt Ministru kabinetu par priekšlikumiem rīcībai gadījumā, ja netiek saņemts pozitīvs Eiropas Komisijas lēmums par  grozījumiem Eiropas Savienības Kohēzijas politikas programmā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Projekta īstenošanas vieta ir plānošanas reģiona attīstības programmā noteiktā pilsētas funkcionālā teritorija.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8.punktu ar nosacījumu, ka projektu īstenošanas vieta ir Latvijas Republikas teritorija.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līdz 2024. gada 31. decembrim iznākuma rādītājs: noslēgto līgumu par projektu īstenošanu īpatsvars par ieguldījumiem kultūras un tūrisma objektos – 10 procenti;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21.punkts paredz dažādus projekta iesniedzējus - gan atvasinātas publiskas personas, gan juridiskas personas, tad lūdzam papildināt noteikumu projekta 11.1.apakšpunktu, kā arī noteikumu projekta 7., 20. un 37.punktu, paredzot, ka tiks noslēgti gan līgumi, gan vienošanās par projekta īstenošanu, lai nodrošinātu atbilstību Eiropas Savienības fondu normatīvajam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plānotais kopējais attiecināmais finansējums sadalījumā pa reģioniem: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atlasi plānots izsludināt līdz Eiropas Komisijas lēmumam par vidusposma pārskatu, lūdzam 13.punkta apakšpunktos norādīt pieejamo finansējumu, izdalot elastības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pašvaldībai vai tās izveidotai iestādei, ja projektam atbalsta sniegšana specifiskā atbalsta ietvaros kvalificējama kā komercdarbības atbalsts, publiskais finansējums nepārsniedz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minētā aprēķina finanšu iztrūkumu.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18.2.apakšpunktā minētās atsauces precizēšanu no 19.punkta uz 17.punktu, ņemot vērā, ka noteikumu projekta 17.punktā ir aprakstīts, kā aprēķina finanšu iztrūkumu, savukārt noteikumu projekta 19.2.punkts  atspoguļo to, kā tiek noteikta privātā līdzfinansējuma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ja atbalsta sniegšana specifiskā atbalsta ietvaros nav kvalificējama kā komercdarbības atbalsts, projekta iesniedzēja un sadarbības partnera līdzfinansējums nav mazāks par 15 procentiem no projekta kopējām attiecināmajām izmaksām, ieskaitot valsts budžeta dotāciju atbilstoši normatīvajiem aktiem par valsts budžeta dotācijas piešķiršanu pašvaldībām Eiropas Savienības struktūrfondu un Kohēzijas fonda 2021.-2027. gada plānošanas periodā līdzfinansēto projektu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19.1. apakšpunkta daļu "</w:t>
            </w:r>
            <w:r w:rsidR="00000000" w:rsidRPr="00000000" w:rsidDel="00000000">
              <w:rPr>
                <w:i w:val="1"/>
                <w:rtl w:val="0"/>
              </w:rPr>
              <w:t xml:space="preserve">ieskaitot valsts budžeta dotāciju atbilstoši normatīvajiem aktiem par valsts budžeta dotācijas piešķiršanu pašvaldībām Eiropas Savienības struktūrfondu un Kohēzijas fonda 2021.-2027. gada plānošanas periodā līdzfinansēto projektu īstenošanai</w:t>
            </w:r>
            <w:r w:rsidR="00000000" w:rsidRPr="00000000" w:rsidDel="00000000">
              <w:rPr>
                <w:rtl w:val="0"/>
              </w:rPr>
              <w:t xml:space="preserve">", ņemot vērā, ka no VARAM saņemta informācija, ka 2024.gada budžetā nav paredzēts finansējums valsts budžeta dotāciju piešķiršanai un nav skaidrības par tās pieejamību turpmāk.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Streipa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projekta izmaksas ir vismaz 1 000 000 </w:t>
            </w:r>
            <w:r w:rsidR="00000000" w:rsidRPr="00000000" w:rsidDel="00000000">
              <w:rPr>
                <w:i w:val="1"/>
                <w:rtl w:val="0"/>
              </w:rPr>
              <w:t xml:space="preserve">euro</w:t>
            </w:r>
            <w:r w:rsidR="00000000" w:rsidRPr="00000000" w:rsidDel="00000000">
              <w:rPr>
                <w:rtl w:val="0"/>
              </w:rPr>
              <w:t xml:space="preserve">, projekta iesniedzējs veic izmaksu un ieguvumu analīzi, ievērojot, ka projekta ekonomiskā ienesīguma norma ir lielāka par sociālo diskonta likmi un projekta ekonomiskā neto pašreizējā vērtība ir lielāka par nulli.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projekta 26.punktu, norādot no kādām projekta izmaksām jāveic Izmaksu un ieguvumu analīze, proti, vai te ir plānots, ka no projekta kopējām attiecināmām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Blumberga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nodrošina, ka pasākuma ietvaros plānotais atbalsts nepārklājas ar citiem valsts un ārvalstu finanšu atbalsta instrumentiem;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30.1.apakšpunktu, ka finansējuma saņēmējs nodrošina ne tikai nepārklāšanās principu ar citiem valsts un ārvalstu finanšu atbalsta instrumentiem, bet nodrošina arī dubultā finansējuma neiestāšanos projekta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dubultā finansējuma neiestāšanās nodrošināma ne tikai attiecībā uz citiem finanšu atbalsta instrumentiem, bet arī konkrētā projekta īstenošanai piešķirtā finansējuma ietvaros darbības nedrīkst tikt finansētas dubultā.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anotācijas 1.3.sadaļu.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nodrošina interešu konflikta neesību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ar parakstu apliecina, ka nepastāv interešu konflikts.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projekta vadības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32.3.apakšpunktu, kā atbalstāmo darbību nosakot projekta vadības un īstenošanas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Atbilstošus precizējumus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32.3.projekta vadības un īstenošanas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Plānojot projekta tiešās attiecināmās personāla atlīdzības izmaksas, pamatojoties uz darba līgumu vai rīkojumu par pretendenta iecelšanu ierēdņa amatā, finansējuma saņēmējs un sadarbības partneris nodrošina, ka projekta vadības personāls un projekta īstenošanas personāls tiek piesaistīts uz normālu darba laiku vai nepilnu darba laiku, vai daļlaiku ne mazāk kā 30 procentu apmērā no normālā darba laika. Ja personāla atlīdzībai piemēro daļlaika attiecināmības principu, finansējuma saņēmējs veic personāla darba laika uzskaiti par nostrādāto laiku un veiktajām funkcijām.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personāla izmaksas tiek plānotas kā vienotā likme, aicinām svītrot noteikumu projekta 36.punktu. Vēršam uzmanību, ka noteikumu projekta 36.punktā iekļautie nosacījumi ir attiecināmi, ja personāla izmaksas tiek attiecinātas kā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Projekta pārskata periodā finansējuma saņēmējs atbilstoši Kultūras ministrijas izstrādātajai komercdarbības atbalsta piemērošanas metodikai specifiskā atbalsta ietvaros reizi gadā līdz kārtējā gada 1. jūnijam iesniedz sadarbības iestādē informāciju, kas nepieciešama, lai izvērtētu, vai kultūras nozares projekts atbilst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43.punktā ietverto atsauci no 42.punkta uz 42.1.apakšpunktu, jo šī nosacījuma ievērošana attiecas uz gadījumiem, kad projektam nav saimnieciska rakstura, jo pašu ieņēmumi atbalstītajā objektā ir 50 procenti vai mazāki par 50 procentiem no kultūras jomas pakalpojumu sniedzēja gada budžeta atbalstītajā objektā.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Projekta pārskata periodā finansējuma saņēmējs atbilstoši Kultūras ministrijas izstrādātajai komercdarbības atbalsta piemērošanas metodikai specifiskā atbalsta ietvaros reizi gadā līdz kārtējā gada 1. jūnijam iesniedz sadarbības iestādē informāciju, kas nepieciešama, lai izvērtētu, vai kultūras nozares projekts atbilst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līdzīgi kā 5.1.1.5. pasākumā un 5.1.1.7. pasākumā par atbildīgo institūciju kultūras nosacījumu izvērtēšanā nebūtu jānosaka Kultūras ministrija, nevis sadarbības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atbalstāmā darbība atbilst vienam vai vairākiem regulas Nr. 651/2014 53. panta 2. punkta “a”, “b”, “c”, “d” vai “e” apakšpunktā norādītajiem mērķiem un darbībām un ir ievēroti regulas Nr. 651/2014 1. panta 2. punkta “c” un “d” apakšpunktā, 3. punktā un 4. punkta “a” apakšpunktā minētie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mērķi, attiecināmās izmaksas, kā arī tajā plānotās darbības, lūdzam pārskatīt un precizēt noteikumu projekta 44.1.punktā, kā arī citur noteikumu projektā, ietvertās atsauces uz Komisijas regulas Nr.651/2014 53.panta 2.punkta apakšpunktiem.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projekta uzraudzību visā projekta pārskata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49.3.apakšpunktu, jo sadarbības iestādes pienākums uzraudzīt projekta īstenošanu izriet no Eiropas Savienības fondu 2021.—2027. gada plānošanas perioda vadības likuma 12.panta trešās daļas 7.punkta, un nav nepieciešams to dublēt šajā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komercdarbības atbalstu sniedz saskaņā ar regulas Nr. 651/2014 53. pantu un ja attiecīgajā projektā vai projekta daļā projekta pārskata periodā ir radusies lielāka peļņa no pamatdarbības (neskaitot samērīgas peļņas daļu, kas atbilst tipiskai peļņai kultūras nozares attiecīgajā jomā Latvijas Republikā), nekā projektā plānots, finansējuma saņēmējs projekta pārskata perioda beigās veic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minētās izmaksu un ieguvumu analīzes pārrēķinu un sadarbības iestādei atmaksā starpību starp faktisko un plānoto peļņu no pamatdarbības.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gadījumos, ja projekta iesniedzējiem ir plānots piešķirt atbalstu atbilstoši Regulas Nr.651/2014 53.pantam, nebūtu lietderīgāk piemērot Regulas Nr.651/2014 53.panta 8.punkta nosacījumu, tādējādi samazinot administratīvo slogu gan finansējuma saņēmējam, gan sadarbības iestadei. Papildus vēršam uzmanību, ka 26.punktā norādīto izmaksu un ieguvumu analīzi ir jāsniedz tikai par projektiem, kuru izmaksas pārsniedz 1 milj.euro.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ietvaros plānoto projektu sasaisti ar Eiropas Savienības stratēģiju Baltijas jūras reģionam, t.sk. ka investīcijām piemērojams Makroreģionālā un jūras baseinu stratēģija kods 03 - Baltijas jūras reģiona stratēģija.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normatīvajiem aktiem pašvaldībām nav tiesības izsniegt aizdevumus, līdz ar to lūdzam precizēt anotāciju un attiecīgo rindkopu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atbalsta principiem ar jēdzienu “līdzekļiem, kas ir brīvi no valsts atbalsta” Projekta kontekstā saprotam tādu finansiālu ieguldījumu no projekta iesniedzēja vai sadarbības partnera līdzekļiem – saimnieciskajiem resursiem vai ārējiem finanšu resursiem, kas nesatur nekādu publisko finansiālo atbalstu. Līdzekļi, kas ir brīvi no valsts atbalsta (tai skaitā nav saņemts valsts vai pašvaldību galvojums, vai valsts aizdevums uz atvieglotiem nosacījumiem) ir iegūti saimnieciskās darbības rezultātā vai piesaistīti kā aizņēmums (ārējais finansējums) uz tirgus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projekta 20.punkts paredz maksimālo avansu līdz 50% apmēram, lūdzam anotācijas 1.3.sadaļu papildināt ar pamatojumu, kāpēc nepieciešams lielāks avansa apjoms, nekā Ministru kabineta 2023. gada 25. aprīļa noteikumos Nr. 205 "Valsts budžeta līdzekļu plānošanas kārtība Eiropas Savienības fondu projektu īstenošanai un maksājumu veikšanai 2021.–2027. gada plānošanas periodā" noteiktais maksimālais avanss 30%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projekta 20.punkta redakciju, nosakot, ka avansu var piešķirt līdz 50 procentiem no projektam piešķirtā Eiropas Reģionālās attīstības fonda finansējuma, kā arī avansa un starpposma maksājumu kopsumma nepārsniedz 90 procentus no projektam piešķirtā Eiropas Reģionālā attīstības fonda finansējuma. Atbilstošus precizējumus lūdzam veikt arī anotācijas sadaļā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Sadarbības iestāde, ja tai ir pieejami valsts budžeta līdzekļi, izvērtējot plānotā avansa apmēru, tā pamatojumu, pamatojoties uz finansējuma saņēmēja rakstisku avansa pieprasījumu, var piešķirt finansējuma saņēmējam avansu pēc vienošanās par projekta īstenošanu noslēgšanas.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50 procentiem no projektam piešķirtā Eiropas Reģionālās attīstības fonda finansējuma, ievērojot, ka avansu var izmaksāt vairākos maksājumos un avansa un starpposma maksājumu kopsumma nepārsniedz 90 procentus no projektam piešķirtā Eiropas Reģionālās attīstības fonda finansējuma apmēra.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2.2.sadaļu ar izvērstāku informāciju par pasākumā plānoto investīciju ietekmi uz tautsaimniecību, t.sk. norādot pēc iespējas izmērāmus faktiski sagaidāmos rezultātus/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sadaļu ar informāciju, ka pašvaldība vai tās izveidota iestāde vai pašvaldības kapitālsabiedrība, kuras īpašumā, turējumā, lietošanā vai valdījumā atrodas kultūras mantojuma objekts, kurā plānotas investīcijas, pildīs finansējuma saņēmēja funkcijas, un Kultūras ministrija pildīs atbildīgās iestādes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attiecīgās nozares/ jomas pārstāvošu biedrību, nodibinājumu, nevalstisko organizāciju  iesaisti MK noteikumu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