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24. februāra noteikumos Nr. 108 "Kārtība, kādā uzrauga un izvērtē Eiropas Savienības struktūrfondu un Kohēzijas fonda ieviešanu, kā arī izveido un izmanto Kohēzijas politikas fondu vadības informācijas sistēmu 2014.–2020.gadam"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19.11.2024. 12.07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19.11.2024. 12.07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Atzinumi_24-TA-1924.docx</dc:title>
</cp:coreProperties>
</file>

<file path=docProps/custom.xml><?xml version="1.0" encoding="utf-8"?>
<Properties xmlns="http://schemas.openxmlformats.org/officeDocument/2006/custom-properties" xmlns:vt="http://schemas.openxmlformats.org/officeDocument/2006/docPropsVTypes"/>
</file>