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investīciju projekts ir atbilstošs šo noteikumu 6.1., 6.2., 6.3., 6.4. un 6.5. apakšpunktā minētajiem nosacījumiem, ja ir spēkā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un 7.4. apakšpunkts nav loģiski sasaistīts ar 7. punkta redakciju un būtu jāizdala kā atsevišķi noteikumu projekta punkti, t.i., 7.3. punkts būtu jāsasaista ar 7.1. apakšpunktu, savukārt 7.4. punktā minētais nosacījums nav skaidri uztverams, tāpēc lūdzam to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ceļu būvniecības projekts ir divējādas lietojamības infrastruktūras risinājums, nodrošinot militāro un civilo pielietojumu (atbilst Aizsardzības ministrijas sniegtajam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veidā pirms projekta iesnieguma sagatavošanas un iesniegšanas pašvaldības var saņemt vai iepazīties ar Aizsardzības ministrijas atzinumu par ceļa atbilstību divejādās lietojamības infrastruktūras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valsts budžeta aizdevumu drīkst izmantot būvprojekta izstrādes, būvuzraudzības un autoruzraudzības izmaksu segšanai, ja nepieciešams (arī gadījumos, ja būvprojekta sagatavošana uz investīciju projekta pieteikuma iesniegšanas dienu ir noslēgusies);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10.7. punkts papildināts ar piebildi, ka valsts budžeta aizdevumu var izmantot arī to būvprojekta izstrādes sagatavošanas izmaksu segšanai, kuru sagatavošana uz pieteikumu iesniegšanas dienu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izziņas 38. punktā par LPS 29.01.2024. iebildumu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būvprojektēšana ir veikta un par to ir veikta apmaksa, piemēram, no pašvaldības budžeta līdzekļiem, tad valsts budžeta aizdevumu nedrīkst izmantot, lai pārfinansētu jau apmaksātus 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investīciju projekta īstenošana paredzēta valsts ģimnāzijā, tad minimālais kopējais izglītojamo skaits 10. - 12. klašu grupā ir un izglītojamo skaita prognoze liecina, ka arī turpmākajos trijos mācību gados būs ne mazāks kā noteikts normatīvajos aktos par kārtību, kādā tiek piešķirts un anulēts valsts ģimnāzijas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ģimnāziju atbilstību noteiktajam minimālajam izglītojamo skaitam 10.-12. klašu grupā, aicinām  ņemt vērā Ministru Kabineta noteikumu Nr. 518 “Kārtība, kādā tiek piešķirts un anulēts valsts ģimnāzijas statuss” 10. punktā noteiktās pielaides valsts ģimnāziju statusa  atbilstības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investīciju projekta īstenošana paredzēta vispārējās vidējās izglītības iestādē, kas īsteno vispārējās vidējās izglītības programmu, pamatojoties uz Latvijas Republikas divpusēju vai daudzpusēju starptautisku līgumu, tad minimālais izglītojamo skaits 10. – 12. klašu grupā ir un izglītojamo skaita prognoze liecina, ka arī turpmākajos trijos mācību gados būs ne mazāks kā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attiecināt noteikumu projektu uz tām izglītības iestādēm, kas īsteno tikai pamatizglītības programmas uz LR divpusēju starptautisku līgumu pamata, lūdzam precizēt noteikumu projekta 6.5. apakšpunkta redakciju, nosakot, ka izglītojamo skaits ir atbilstošs jaunajam pedagogu darba samaksas finansēšanas modelim “Programma skolā”.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izglītojamo skaits var būt mazāks, nepārsniedzot 25 procentus no šo noteikumu 6.1. – 6.5. apakšpunktā attiecīgajai izglītības iestādei noteiktā izglītojamo skaita, ja saskaņā ar saskaņā ar Valsts izglītības informācijas sistēmas datiem ir sasniegta attiecīgās vispārējās izglītības iestādes mācību telpu maksimālā kapacitāte;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atsevišķos gadījumos skolas vēsturiski ir izvietotas ēkās, kuru kapacitāte ir ierobežota un objektīvi nav iespējams izpildīt noteikumu projekta 6.1. – 6.5. apakšpunkta prasības arī ar noteikumu projektā piedāvāto atkāpi 25% apmērā, līdz ar to lūdzam noteikumu projekta 7.3. apakšpunktā aizvietot nosacījumu par “[..], nepārsniedzot 25 procentus no šo noteikumu 6.1. – 6.5. apakšpunktā attiecīgajai izglītības iestādei noteiktā izglītojamo skaita, [..]”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sasniegta izglītības iestādes ēkas maksimālā kapacitāte un pēdējos trīs mācību gados ir pozitīvi stabila izglītojamo skaita dinamika 1.-6.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