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25-TA-1360: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15. augusta noteikumos Nr. 462 "Eiropas Savienības kohēzijas politikas programmas 2021.–2027. gadam 4.1.1. specifiskā atbalsta mērķa "Nodrošināt vienlīdzīgu piekļuvi veselības aprūpei un stiprināt veselības sistēmu, tostarp primārās veselības aprūpes noturību" 4.1.1.1. pasākuma "Ārstniecības iestāžu infrastruktūras attīstība" pirmās, piektās un sestās kārtas un 4.1.1.5. pasākuma "Neatliekamās medicīniskās palīdzības dienesta attīstība"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anotācijas 1.3.sadaļas “Pašreizējā situācija, problēmas un risinājumi apakšsadaļā” norādīto grozījumu Ministra kabineta noteikumos Nr. 462 spēkā stāšanās datumu.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 gada 21. janvārī tika apstiprināti grozījumi šajos noteikumos, pamatojoties uz Ministru kabineta 2024. gada 21. maija protokollēmumā Nr. 21 37. §, 24-TA-1132 3. punktā noteikto un uz augstāk minēto informāciju, Veselības ministrija informē - ņemot vērā apstākļus, ka B ēkas projekta īstenošanai pieejamais finansējums ir būtiski samazinājies un minētā finansējuma ietvaros nav iespējams īstenot funkcionējošu B ēkas daļu, Veselības ministrija rosina novirzīt plānotā B korpusa finansējumu 83 293 509 euro  apmērā 4.1.1.1. pasākuma 6. kārtai - abu klīnisko universitāšu slimnīcu infrastruktūras projektu attīstībai ES fondu 2021.–2027. gada plānošanas periodā.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Matīss Iesalnieks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anotācijā datumu, kurā tika izskatīti un apstiprināti grozījumi Ministru kabineta 2021. gada 16. novembra rīkojumā Nr. 841 "Par Eiropas Savienības kohēzijas politikas programmu 2021.-2027. gadam, precizējot to uz 2025.gada 27.maiju.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Matīss Iesalnieks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saskaņā ar 2025. gada 17. jūnijā Ministru kabinetā izskatīto informatīvo ziņojumu "Par VSIA "Paula Stradiņa klīniskā universitātes slimnīca" un SIA "Rīgas Austrumu klīniskā universitātes slimnīca" stratēģisko projektu īstenošanas statusu" (MK 17.06.2025. sēdes protokols Nr. 24, 34. §, 2.punkts) Veselības ministrijai atļauts noslēgt līgumu par A2 projekta realizācijai piekritīgās un funkcionāli nepieciešamās nekustamā īpašuma daļas (nekustamā īpašuma kadastra Nr. 0100 056 0115) ar aptuveno platību 18 300 m² - Pilsoņu ielā 13, Rīgā, kas reģistrēta zemesgrāmatā uz valsts vārda Veselības ministrijas personā, nodošanu VAS “Valsts nekustamie īpašumi” pārvaldībā, lūdzam ar attiecīgo informāciju papildināt arī anotācijas sadaļu "Problēmas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Māra Deņisova (VNI)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par SIA “Rīgas Austrumu klīniskā universitātes slimnīca” Infekciju slimību un plaušu veselības korpusa jaunā būvniecības projektam kopējo nepieciešamo finansējumu un plānotos finansējuma avotus, t.sk. norādot, kā plānots nodrošināt demarkāciju starp plānotajiem finansējuma avotiem.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Matīss Iesalnieks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izskatīt iespēju papildināt anotāciju ar pienākumu FS-am pie grozījumu iesniegšanas veikt proporcijas aprēķinu.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Vītoliņa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izskatīt iespēju anotāciju papildināt ar informāciju par PSKUS 6.kārtas finansējuma 15 000 000 EUR apmērā pārvirzīšanu uz PSKUS 5. kārtas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Vītoliņa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plānoto finansējuma palielinājumu 4.1.1.1. pasākuma 1. kārtai un 5. kārtai, lūdzam papildināt noteikumu projekta anotāciju ar informāciju par 4.1.1.1. pasākuma 1. un 5. kārtas finansējuma dalījumu pa visām intervences kategorijām (Intervences laukums, Finansējuma veids, Teritoriālie sasniegšanas mehānismi, ESF+ sekundārās tēmas un Dzimumu līdztiesība), norādot intervences kodus un tam piemērojamo pasākuma fondu finansējuma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Pētersons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ir minēts, ka ar MK sēdes protokollēmumu ir citstarp noteikts uzdevums Veselības ministrijai sadarbībā ar Centrālo finanšu un līgumu aģentūru nodrošināt līgumu slēgšanu par projektu īstenošanu ar finansējuma saņēmējiem, taču MK sēdes protokollēmuma projekta 4. punktā ir norādīts uzdevums Veselības ministrijai sadarbībā ar Centrālo finanšu un līgumu aģentūru nodrošināt grozījumu veikšanu projektos par projektu īstenošanu ar finansējuma saņēmējiem. Attiecīgi lūdzam anotācijā korekti norādīt ar MK sēdes protokollēmumu uzdoto uzdevumu.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Ēriks Heinsbergs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anotācijā, kā izstrādātie grozījumi ietekmē finansējuma saņēmēju un vai līgumā vai vienošanās par projekta īstenošanu ir nepieciešams veikt grozījumus, vienlaikus, ja attiecināms, norādot vai minētie grozījumi ir būtiski Eiropas Parlamenta un Padomes 2021. gada 24. jūnija Regulas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65.panta izpratnē.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Ēriks Heinsbergs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3.sadaļas 6.punktu ar informāciju par izpildes datiem sadalījumā pa gadiem, kā arī norādot plānoto finansējumu 2025.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Agija Nika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3.sadaļas 1., 2., 3., 5. punktu un attiecīgi 1.1., 2.1., 3.1., 5.1. apakšpunktus, jo nav saprotami tajā norādītie apmēri. Vēršam uzmanību, ka anotācijas 3.sadaļas 1. – 5. punktā  norādāma ietekme attiecībā pret likumā “Par valsts budžetu 2025. gadam un budžeta ietvaru 2025., 2026. un 2027. gadam” plānoto izdevumu apmēru. Attiecīgi papildināms anotācijas 3.sadaļas 6.punkts.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Agija Nika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"Grozījumi Ministru kabineta 2023. gada 15. augusta noteikumos Nr. 462 "Eiropas Savienības kohēzijas politikas programmas 2021.–2027. gadam 4.1.1. specifiskā atbalsta mērķa "Nodrošināt vienlīdzīgu piekļuvi veselības aprūpei un stiprināt veselības sistēmu, tostarp primārās veselības aprūpes noturību" 4.1.1.1. pasākuma "Ārstniecības iestāžu infrastruktūras attīstība" pirmās, piektās un sestās kārtas un 4.1.1.5. pasākuma "Neatliekamās medicīniskās palīdzības dienesta attīstība"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Ministru kabineta sēdes protokollēmuma projektu ar punktu, kas atceļ Ministru kabineta 21.01.2025. sēdes protokola Nr. 3 20.§ 1.20. “Noteikumu projekts "Grozījumi Ministru kabineta 2023. gada 15. augusta noteikumos Nr. 462 "Eiropas Savienības kohēzijas politikas programmas 2021.–2027. gadam 4.1.1. specifiskā atbalsta mērķa "Nodrošināt vienlīdzīgu piekļuvi veselības aprūpei un stiprināt veselības sistēmu, tostarp primārās veselības aprūpes noturību" 4.1.1.1. pasākuma "Ārstniecības iestāžu infrastruktūras attīstība" pirmās un piektās kārtas un 4.1.1.5. pasākuma "Neatliekamās medicīniskās palīdzības dienesta attīstība" īstenošanas noteikumi""” 3., 4. un 5.punktā noteikto, ņemot vēra, ka vairs netiek plānota 4.1.1.1.pasākuma 6.kārta.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Matīss Iesalnieks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Veselības ministrijai sadarbībā ar Centrālo finanšu un līgumu aģentūru nodrošināt grozījumu veikšanu projektos par projektu īstenošanu ar finansējuma saņēmējiem, pirms ir saņemts pozitīvs Eiropas Komisijas lēmums grozījumiem Eiropas Savienības kohēzijas politikas programmā 2021.–2027. gadam, t.sk. par elastības finansējuma pieejamību.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par Ministru kabineta sēdes protokollēmuma projekta 4. un 5.punktā noteikto un sniegt objektīvu pamatojumu elastības finansējuma izmantošanai pirms Eiropas Komisijas lēmuma par programmas grozījumiem atbilstoši Ministru kabineta 2025.gada 27.maija sēdes protokola Nr. 21 42.§ 3.1.punkta “Rīkojuma projekts "Grozījumi Ministru kabineta 2021. gada 16. novembra rīkojumā Nr. 841 "Par Eiropas Savienības kohēzijas politikas programmu 2021.–2027. gadam""12. punktā noteiktajam. Vienlaikus sniedzot pamatojumu, lūdzam ņemt vērā Eiropas Savienības fondu tematiskās komitejas 2025. gada 29. maija sēdē doto uzdevumu Veselības ministrijai sadarbībā ar Valsts nekustamie īpašumi turpināt vērtēt iespējas samazināt VSIA "Paula Stradiņa klīniskā universitātes slimnīca" projekta Nr. 9.3.2.0/17/I/013 Slimnīcas A 2 korpusa attīstība 2. posma projekta izmaksas, attiecīgi papildinot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Matīss Iesalnieks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programmas 2021.–2027. gadam 4.1.1. specifiskā atbalsta mērķa "Nodrošināt vienlīdzīgu piekļuvi veselības aprūpei un stiprināt veselības sistēmu, tostarp primārās veselības aprūpes noturību" 4.1.1.1. pasākuma "Ārstniecības iestāžu infrastruktūras attīstība" pirmās, piektās un sestās kārtas un 4.1.1.5. pasākuma "Neatliekamās medicīniskās palīdzības dienesta attīstība"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nosaukumu, Ministru kabineta sēdes protokollēmuma projektu un noteikumu 1.1.apakšpunktu, svītrojot atsauci uz 4.1.1.1. pasākuma 6. kārtu, ņemot vērā, ka 4.1.1.1. pasākuma 6. kārta netiks īstenota.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Matīss Iesalnieks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programmas 2021.–2027. gadam 4.1.1. specifiskā atbalsta mērķa "Nodrošināt vienlīdzīgu piekļuvi veselības aprūpei un stiprināt veselības sistēmu, tostarp primārās veselības aprūpes noturību" 4.1.1.1. pasākuma "Ārstniecības iestāžu infrastruktūras attīstība" pirmās, piektās un sestās kārtas un 4.1.1.5. pasākuma "Neatliekamās medicīniskās palīdzības dienesta attīstība"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nosaukumu, svītrojot atsauci uz 4.1.1.1. pasākuma 6. kārtu, ņemot vērā, ka 4.1.1.1. pasākuma 6. kārta netiks īstenota.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Pētersons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4.1.1.1. pasākuma pirmās un sestās kārtas finansējuma saņēmējiem, izņemot šo noteikumu </w:t>
            </w:r>
            <w:r w:rsidR="00000000" w:rsidRPr="00000000" w:rsidDel="00000000">
              <w:rPr>
                <w:rtl w:val="0"/>
              </w:rPr>
              <w:t xml:space="preserve">23.</w:t>
            </w:r>
            <w:r w:rsidR="00000000" w:rsidRPr="00000000" w:rsidDel="00000000">
              <w:rPr>
                <w:rtl w:val="0"/>
              </w:rPr>
              <w:t xml:space="preserve"> punktā minēto gadījumu, komercdarbības atbalstu piešķir atbilstoši šīs nodaļas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ka IV. sadaļā "Komercdarbības atbalsta piešķiršanas nosacījumi" ietvertās prasības attiecas uz tiem atbalsta saņēmējiem, kas paredzēti 4.1.1.1. pasākuma pirmajā un piektajā kārtā, un, ņemot vērā to, ka ar šo noteikumu projektu sestā kārta tiek svītrota no Ministru kabineta noteikumiem Nr. 462, lūdzam precizēt noteikumu projekta 15. punktu, sestās kārtas vietā norādot piekto kārtu.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Mūrniece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r w:rsidR="00000000" w:rsidRPr="00000000" w:rsidDel="00000000">
              <w:rPr>
                <w:vertAlign w:val="superscript"/>
                <w:rtl w:val="0"/>
              </w:rPr>
              <w:t xml:space="preserve">4</w:t>
            </w:r>
            <w:r w:rsidR="00000000" w:rsidRPr="00000000" w:rsidDel="00000000">
              <w:rPr>
                <w:rtl w:val="0"/>
              </w:rPr>
              <w:t xml:space="preserve"> Sadarbības partneris iesaistās projekta īstenošanā ar saviem resursiem, tai skaitā ar tā īpašumā, valdījumā, turējumā vai lietojumā esošo nekustamo īpašumu un tiesību prasība ir nostiprināta zemesgrāmatā, kā arī nodrošina pārskatu un citas informācijas iesniegšanu atbilstoši sadarbības līgumā noteiktajai kārtībai.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Minētajā punktā sadarbības partnerim noteiktais pienākums nodrošināt tā īpašumā, valdījumā, turējumā vai lietojumā esošo nekustamo īpašumu un tiesību prasības nostiprināšana zemesgrāmatā </w:t>
            </w:r>
            <w:r w:rsidR="00000000" w:rsidRPr="00000000" w:rsidDel="00000000">
              <w:rPr>
                <w:u w:val="single"/>
                <w:rtl w:val="0"/>
              </w:rPr>
              <w:t xml:space="preserve">neattiecas uz VAS "Valsts nekustamie īpašumi" kā sadarbības partneri.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attiecīgi precizēt minēto punktu, paredzot izņēmuma gadījumu attiecībā uz VAS "Valsts nekustamie īpašumi".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Māra Deņisova (VNI)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Projekta iesniedzējs kopā ar sadarbības partneri (ja attiecināms) sagatavo projekta iesniegumu atbilstoši projektu iesniegumu atlases nolikumā noteiktajām prasībām un iesniedz to sadarbības iestādē, izmantojot Kohēzijas politikas fondu vadības informācijas sistēmu, tai skaitā ar parakstu apliecina projekta iesniedzēja un sadarbības partnera (ja attiecināms) interešu konflikta neesību atbilstoši Eiropas Parlamenta un Padomes 2024. gada 23. septembra Regulai (ES, </w:t>
            </w:r>
            <w:r w:rsidR="00000000" w:rsidRPr="00000000" w:rsidDel="00000000">
              <w:rPr>
                <w:i w:val="1"/>
                <w:rtl w:val="0"/>
              </w:rPr>
              <w:t xml:space="preserve">Euratom</w:t>
            </w:r>
            <w:r w:rsidR="00000000" w:rsidRPr="00000000" w:rsidDel="00000000">
              <w:rPr>
                <w:rtl w:val="0"/>
              </w:rPr>
              <w:t xml:space="preserve">) 2024/2509 par finanšu noteikumiem, ko piemēro Savienības vispārējam budžetam (pārstrādāta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noteikumu projekta 12. punktā izteiktajā noteikumu 30. punktā ietvertās prasības parakstīt apliecinājumu par interešu konflikta neesamību nepieciešamību, ņemot vērā to, ka Eiropas Parlamenta un Padomes 2024. gada 23. septembra Regulas (ES, Euratom) 2024/2509 par finanšu noteikumiem, ko piemēro Savienības vispārējam budžetam (pārstrādātā redakcija) 61.panta prasības ir tieši piemērojamas tādiem projektiem, kas saistīti ar Eiropas Savienības (ES) fondu atbalsta saņemšanu un vienlaikus kuros atbilstoši specifiskā atbalsta mērķim finansējuma saņēmējs atlases kārtībā ES fondu dalībniekiem, gala saņēmējiem vai sadarbības partneriem sniedz finansiālu atbalstu (t.s. daudzpakāpju projekti).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iesniedzējs kopā ar sadarbības partneri (ja attiecināms) sagatavo projekta iesniegumu atbilstoši projektu iesniegumu atlases nolikumā noteiktajām prasībām un iesniedz to sadarbības iestādē, izmantojot Kohēzijas politikas fondu vadības informācijas sistēmu.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Ēriks Heinsbergs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Šo noteikumu </w:t>
            </w:r>
            <w:r w:rsidR="00000000" w:rsidRPr="00000000" w:rsidDel="00000000">
              <w:rPr>
                <w:rtl w:val="0"/>
              </w:rPr>
              <w:t xml:space="preserve">33.1.</w:t>
            </w:r>
            <w:r w:rsidR="00000000" w:rsidRPr="00000000" w:rsidDel="00000000">
              <w:rPr>
                <w:rtl w:val="0"/>
              </w:rPr>
              <w:t xml:space="preserve"> apakšpunktā minētās atbalstāmās darbības ietvaros ir attiecināmas finansējuma saņēmēja projekta vadības personāla atlīdzības izmaksas, kas radušās uz darba līguma vai uzņēmuma līguma pamata, tai skaitā normatīvajos aktos noteiktās piemaksas un nodokļi, šādā apmērā: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 nepieciešamību papildināt ar "sadarbības partnera projekta vadības izmaksām"?.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Vītoliņa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Šo noteikumu </w:t>
            </w:r>
            <w:r w:rsidR="00000000" w:rsidRPr="00000000" w:rsidDel="00000000">
              <w:rPr>
                <w:rtl w:val="0"/>
              </w:rPr>
              <w:t xml:space="preserve">33.1.</w:t>
            </w:r>
            <w:r w:rsidR="00000000" w:rsidRPr="00000000" w:rsidDel="00000000">
              <w:rPr>
                <w:rtl w:val="0"/>
              </w:rPr>
              <w:t xml:space="preserve"> apakšpunktā minētās atbalstāmās darbības ietvaros ir attiecināmas finansējuma saņēmēja projekta vadības personāla atlīdzības izmaksas, kas radušās uz darba līguma vai uzņēmuma līguma pamata, tai skaitā normatīvajos aktos noteiktās piemaksas un nodokļi, šādā apmērā: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no administratīvā sloga viedokļa, vai noteikumu projekta 34. punktā minētie personāla izmaksu ierobežojumi ir nepieciešami un samērīgi, ņemot vērā aktuālo attiecināmo izmaksu vadlīniju "</w:t>
            </w:r>
            <w:r w:rsidR="00000000" w:rsidRPr="00000000" w:rsidDel="00000000">
              <w:rPr>
                <w:i w:val="1"/>
                <w:rtl w:val="0"/>
              </w:rPr>
              <w:t xml:space="preserve">Vadlīnijas attiecināmo izmaksu noteikšanai Eiropas Savienības kohēzijas politikas programmas 2021.-2027.gada plānošanas periodā</w:t>
            </w:r>
            <w:r w:rsidR="00000000" w:rsidRPr="00000000" w:rsidDel="00000000">
              <w:rPr>
                <w:rtl w:val="0"/>
              </w:rPr>
              <w:t xml:space="preserve">" redakcijas versiju, kas apstiprināta 09.06.2025.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Pētersons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50.7. atbilstoši Regulas Nr. </w:t>
            </w:r>
            <w:r w:rsidR="00000000" w:rsidRPr="00000000" w:rsidDel="00000000">
              <w:rPr>
                <w:rtl w:val="0"/>
              </w:rPr>
              <w:t xml:space="preserve">2021/1060</w:t>
            </w:r>
            <w:r w:rsidR="00000000" w:rsidRPr="00000000" w:rsidDel="00000000">
              <w:rPr>
                <w:rtl w:val="0"/>
              </w:rPr>
              <w:t xml:space="preserve"> 9. panta 4. punktam un Eiropas Parlamenta un Padomes 2020. gada 18. jūnija Regulas (ES) </w:t>
            </w:r>
            <w:r w:rsidR="00000000" w:rsidRPr="00000000" w:rsidDel="00000000">
              <w:rPr>
                <w:rtl w:val="0"/>
              </w:rPr>
              <w:t xml:space="preserve">2020/852</w:t>
            </w:r>
            <w:r w:rsidR="00000000" w:rsidRPr="00000000" w:rsidDel="00000000">
              <w:rPr>
                <w:rtl w:val="0"/>
              </w:rPr>
              <w:t xml:space="preserve"> par regulējuma izveidi ilgtspējīgu ieguldījumu veicināšanai un ar kuru groza Regulu (ES) </w:t>
            </w:r>
            <w:r w:rsidR="00000000" w:rsidRPr="00000000" w:rsidDel="00000000">
              <w:rPr>
                <w:rtl w:val="0"/>
              </w:rPr>
              <w:t xml:space="preserve">2019/2088</w:t>
            </w:r>
            <w:r w:rsidR="00000000" w:rsidRPr="00000000" w:rsidDel="00000000">
              <w:rPr>
                <w:rtl w:val="0"/>
              </w:rPr>
              <w:t xml:space="preserve">, 17. pantam nodrošina, ka tiek ievēroti šādi principa "Nenodarīt būtisku kaitējumu" vides mērķi (šis nosacījums neattiecas uz 4.1.1.1. pasākuma piektās kārtas finansējuma saņēmējiem):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izvērtēt, vai prasība "Nenodarīt būtisku kaitējumu" nav attiecināma arī uz 5.kārtu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Vītoliņa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50.9. nodrošina, ka iepirkumus, kuri nepieciešami atbalstāmo darbību īstenošanai, finansējuma saņēmējs veic atklātā, pārredzamā, nediskriminējošā un konkurenci nodrošinošā, sociāli atbildīgā veidā, kā arī saskaņā ar normatīvajiem aktiem publisko iepirkumu jomā, ievērojot nediskriminācijas principus. Projekta ietvaros ir atbalstāma vides prasību un inovatīva risinājuma integrēšana preču un pakalpojuma iepirkumos (zaļais publiskais iepirkums un inovāciju publiskais iepirkums);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VAS "Valsts nekustamie īpašumi" kā sadarbības partneris veiks MK noteikumu 50.9.apakšpunktā minētos iepirkumus, lūdzam attiecīgi papildināt minēto apakšpunktu.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"50.9. nodrošina, ka iepirkumus, kuri nepieciešami atbalstāmo darbību īstenošanai, finansējuma saņēmējs </w:t>
            </w:r>
            <w:r w:rsidR="00000000" w:rsidRPr="00000000" w:rsidDel="00000000">
              <w:rPr>
                <w:b w:val="1"/>
                <w:rtl w:val="0"/>
              </w:rPr>
              <w:t xml:space="preserve">vai sadarbības partneris</w:t>
            </w:r>
            <w:r w:rsidR="00000000" w:rsidRPr="00000000" w:rsidDel="00000000">
              <w:rPr>
                <w:rtl w:val="0"/>
              </w:rPr>
              <w:t xml:space="preserve"> veic atklātā, pārredzamā, nediskriminējošā un konkurenci nodrošinošā, sociāli atbildīgā veidā, kā arī saskaņā ar normatīvajiem aktiem publisko iepirkumu jomā, ievērojot nediskriminācijas principus. Projekta ietvaros ir atbalstāma vides prasību un inovatīva risinājuma integrēšana preču un pakalpojuma iepirkumos (zaļais publiskais iepirkums un inovāciju publiskais iepirkums);"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Māra Deņisova (VNI)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50.9. nodrošina, ka iepirkumus, kuri nepieciešami atbalstāmo darbību īstenošanai, finansējuma saņēmējs veic atklātā, pārredzamā, nediskriminējošā un konkurenci nodrošinošā, sociāli atbildīgā veidā, kā arī saskaņā ar normatīvajiem aktiem publisko iepirkumu jomā, ievērojot nediskriminācijas principus. Projekta ietvaros ir atbalstāma vides prasību un inovatīva risinājuma integrēšana preču un pakalpojuma iepirkumos (zaļais publiskais iepirkums un inovāciju publiskais iepirkums);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MK noteikumu anotācijā ir norādīts, ka Finansējuma saņēmējs nodrošinās, ka iepirkumu, kas nepieciešams atbalstāmo darbību īstenošanai, finansējuma saņēmējs iespēju robežās veiks kā sociāli atbildīgu iepirkumu [..], izskatīt iespēju, ka MK noteikumu 50.9. apakšpunktā arī tiek norādīts, ka tiks nodrošināti iespēju robežās.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Vītoliņa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pielikumu, norādot, kuram atbalsta saņēmējam tiek plānots novirzīt elastības finansējumu, attiecīgi papildinot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Matīss Iesalnieks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25-TA-1360</w:t>
    </w:r>
    <w:r>
      <w:br/>
    </w:r>
    <w:r w:rsidR="00000000" w:rsidRPr="00000000" w:rsidDel="00000000">
      <w:rPr>
        <w:rtl w:val="0"/>
      </w:rPr>
      <w:t xml:space="preserve">Izdrukāts 07.07.2025. 19.24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25-TA-1360</w:t>
    </w:r>
    <w:r>
      <w:br/>
    </w:r>
    <w:r w:rsidR="00000000" w:rsidRPr="00000000" w:rsidDel="00000000">
      <w:rPr>
        <w:rtl w:val="0"/>
      </w:rPr>
      <w:t xml:space="preserve">Izdrukāts 07.07.2025. 19.24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Atzinumi_25-TA-1360.docx</dc:title>
</cp:coreProperties>
</file>

<file path=docProps/custom.xml><?xml version="1.0" encoding="utf-8"?>
<Properties xmlns="http://schemas.openxmlformats.org/officeDocument/2006/custom-properties" xmlns:vt="http://schemas.openxmlformats.org/officeDocument/2006/docPropsVTypes"/>
</file>