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grozījumiem. Šobrīd liela daļa aizsargājamo biotopu atrodas ārpus Natura 2000 teritorijām, turklāt meliorācijas vai apūdeņošanas sistēmu pārbūvei var būt ietekme uz Natura 2000 teritorijām arī tad, ja šīs sistēmas atrodas ārpus minētajām teritorijām, tāpēc sākotnējais ietekmes uz vidi novērtējums ir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Atzinumi_25-TA-2090.docx</dc:title>
</cp:coreProperties>
</file>

<file path=docProps/custom.xml><?xml version="1.0" encoding="utf-8"?>
<Properties xmlns="http://schemas.openxmlformats.org/officeDocument/2006/custom-properties" xmlns:vt="http://schemas.openxmlformats.org/officeDocument/2006/docPropsVTypes"/>
</file>