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ietverto grozījumu Ostu likuma pārejas noteikumu 16.punkta pirmajā apakšpunktā likumprojekta anotācijā norādīts, ka kapitāla daļu nodošana bez atlīdzības nodrošinātu tiesisko līdzsvaru un novērstu nepamatotu īpašumtiesību aizskārumu, jo Rīga ir veikusi būtisku ieguldījumu Rīgas brīvostas pārvaldes izveidē, nodrošinot tās darbības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likumprojektā paredzētās kapitāla daļu sadalījuma proporcijas pamatošanai, kā arī lai nodrošinātu skaidrību par attiecīgo normu, lūdzam papildināt likumprojekta anotāciju ar informāciju, kas pamatotu minēto apgalvojumu par Rīgas valstspilsētas pašvaldības līdzšinējā veiktā ieguldījuma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03.08.2023.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03.08.2023.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