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 apakšsadaļas punktā “Mērķa apraksts” norādīto, ka noteikumu projektā paredzēts </w:t>
            </w:r>
            <w:r w:rsidR="00000000" w:rsidRPr="00000000" w:rsidDel="00000000">
              <w:rPr>
                <w:u w:val="single"/>
                <w:rtl w:val="0"/>
              </w:rPr>
              <w:t xml:space="preserve">palielināt</w:t>
            </w:r>
            <w:r w:rsidR="00000000" w:rsidRPr="00000000" w:rsidDel="00000000">
              <w:rPr>
                <w:rtl w:val="0"/>
              </w:rPr>
              <w:t xml:space="preserve"> zemākās algas slimnīcās strādājošajām ārstniecības personām, jo noteikumu projektā zemākās algas palielināšana netiek paredzēta, un anotācijas 3.sadaļā norādīts, ka noteikumu projekts neparedz ietekmi uz valsts budžetu un pašvaldību budžetiem.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10.06.2025.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