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 – pasākuma ietvaros tās ir valsts tiešās pārvaldes iestādes un sabiedrība ar ierobežotu atbildību, kuru darbības mērķis ir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 kas ir noslēgušas vienošanos ar sadarbības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EM precizēt noteikumu projekta 2.2.apakšpunktu, nodalot valsts tiešās pārvaldes iestādes no SIA, jo īpaši ņemot vērā to, ka SIA (Eiropas Kosmosa aģentūras) mērķis nav sekmēt Latvijas uzņēmumu konkurētspēju un eksportspēju starptautiskajos tirgos, veicināt biznesa ideju attīstību un uzņēmumu rašanos, zināšanu ietilpīgu preču un pakalpojumu attīstību uzņēmumos, eksportu un ārvalstu investīciju apjoma pieaugumu, kā arī īstenot valsts politiku inovāciju jomā un veicināt pozitīvu Latvijas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telpu noma un darba vietu aprīkojuma izmaksas, kas attiecināmas uz šo noteikumu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41.5.apakšpunktā nosacījumus attiecībā par darba vietas aprīkojumu līdzīgi kā tas ir noteikts noteikumu projekta 40.1.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šādu tekstu: "Pirmās kārtas ietvaros paredzēta atbildīgās iestādes izstrādāta vienkāršoto izmaksu metodika par LIAA un Ekonomikas ministrijas atbalstāmo darbību īstenošanai paredzētajām personāla atlīdzības izmaksām, tai skaitā darba alga, valsts sociālās apdrošināšanas obligātās iemaksas un atvaļinājuma izmaksas Minētā metodika tiks saskaņota ar vadošo iestādi. Vienkāršoto izmaksu metodiku plānots izstrādāt līdz projektu iesniegumu atlases uzsākšanai."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norādītā informācija ir pretrunā ar anotācijā norādīto informāciju - pretēji anotācijā noteiktajam, noteikumu projekts neparedz vienkāršoto izmaksu metodikas izstrādi, bet LIAA un gala labumu guvējiem piemērojamu vienoto izmaksu likmi. Lūdzam saskaņot informāciju abos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atbalstāma atšķirīga pieeja projekta vadības un īstenošanas personāla izmaksu segšanai, jo netiek nodrošināti vienādi ieviešanas nosacījumi visiem finansējuma saņēmējiem vienādu izmaksu segšanai, jo šobrīd personāla izmaksas ir paredzētas gan faktiskās, gan vienkāršotās izmaksās. Līdz ar to lūdzam pārskatīt noteikumu projekta 46.punkta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personāla izmaksu likmes apmērs ir saskaņojams ar vadošo iestādi, t.sk. iesniedzot aprēķinu par likmes apmēru. Attiecīgi, kad vienotās likmes apmērs ir saskaņots ar vadošo iestādi, konkrēts vienotās likmes procenta apmērs ir jānorāda Ministru kabineta noteikumos, kā arī sākotnējās ietekmes izvērtējumā (anotācijā) ir iekļaujams saskaņotā likmes apmēra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Likme ir jānosaka kā konkrēts procents, nevis "līdz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izvērtēt, vai šajā pasākumā kā alternatīvs risinājums nebūtu attiecināt personāla izmaksas kā faktiskās izmaksas, ņemot vērā, ka ir dažādi finansējuma saņēmēji un ņemot vērā projektu specifiku. Attiecīgi, ja šāds risinājums tiks izvēlēts kā atbilstošs, lūgums sniegt argumentētus skaidrojumus anotācijā šādas pieejas izvēlei.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pasākuma ieviešanas RIS3 pārvaldības modeļa darbība Ekonomikas ministrija turpinās un pilnveidos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59.punkts paredz, ka Ekonomikas ministrija no saviem līdzekļiem pēc pasākuma ieviešanas turpinās un pilnveidos RIS3 pārvaldības modeļa darbību. Attiecīgi anotācijā lūdzam skaidrot, kuras Ekonomikas ministrijas budžeta programmas ietvaros plānots nodrošināt turpmāku RIS3 pārvaldības modeļa darbību, kā arī sniegt pamatojumu minētā punkta iekļaušanai noteikumu projektā. Gadījumā, ja minētais punkts ir nepieciešams, lūdzam precizēt tā redakciju, paredzot, ka Ekonomikas ministrija pēc pasākuma ieviešanas turpinās un pilnveidos RIS3 pārvaldības modeļa darbību </w:t>
            </w:r>
            <w:r w:rsidR="00000000" w:rsidRPr="00000000" w:rsidDel="00000000">
              <w:rPr>
                <w:u w:val="single"/>
                <w:rtl w:val="0"/>
              </w:rPr>
              <w:t xml:space="preserve">atbilstoši valsts budžetā šim mērķim paredzētajam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53. panta 2. punktu, darbības vai projekti, kas ir daļa no darbības, kuri saņem atbalstu no KF, ERAF vai ESF+ un kuru kopējās izmaksas nepārsniedz 200 000 EUR, visas izmaksas tiek segtas ar vienu vienību, fiksētās summas maksājumu vai vienoto likmju veidā, izņemot darbības, kurām atbalsts kvalificējams kā komercdarbības (izņemot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anotācijā iekļautās redakcijas "Tā kā ESA BIC Latvia kopējais finansējums, kas netiks piešķirts gala labuma guvējiem, nepārsniegs 200 000 EUR, kas tiks segts no de minimis, tad vienkāršoto izmaksu metodiku izstrādāt nav nepieciešams."  Sanāktu, ka šajā gadījumā uz ESA BIC projektu attiektos obligāts vienkāršoto izmaksu piemērošanas nosacījums. Lūgums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rodas pretrunas, jo ir sniegta informācija, ka projekta personāla izmaksām tiks izstrādāta gan vienkāršoto izmaksu metodika, gan vienotā likme. Attiecīgi lūgums skaidri norādīt anotācijas 1.3.sadaļā, kādu no vienkāršošanas veidiem izmantos personāla izmaksu segšanā.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atsaucoties uz Eiropas Savienības fondu 2021.-2027.gada plānošanas perioda 1.politikas mērķa “Viedāka Eiropa” 29.02. apakškomitejas sēdes protokolu Nr. 2024-5.2-3/16/384, aicinām organizēt sanāksmi par pasākuma ieviešanas konceptu, sanāksmē pieaicinot FM, IZM, NVO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lai radītu jaunus produktus un tehnoloģijas, kas veicina uzņēmumu jaunu zināšanu apguvi un ieņēmumu palielināšanos, tādējādi veicinot eksporta apjomu pieaugumu.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izziņas 161.punktā ietverto EM skaidrojumu, ka atbalsts kosmosa nozarei ir tikai daļa no visa pasākuma un pasākuma mērķis ir veicināt visu viedo specializāciju attīstību, nevis tikai kosmosa nozari, atkārtoti aicinām EM precizēt MKN  noteikumu projekta 5.punktā ietverto mērķi. Šī pasākuma 1.kārtas ietvaros ir paredzētas 3 atbalsta sadaļas- RIS3 pārvaldības sistēmas turpināšana (RIS3 vadības grupu koordinācija- LIAA), viedās specializācijas jomas analītikas kapacitātes stiprināšana (RIS3 monitorings- EM) un  atbalsts kosmosa nozares attīstīšanai - ESA BIC ( īpaši izcelta pasākuma atbalsta sadaļa kosmosa nozares atbalstam), bet pasākuma mērķa formulējumā minētas tikai pirmās divas.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stiprinot viedās specializācijas jomas analītikas kapacitāti, kā arī atbalsta pasākumu īstenošana uzņēmējdarbības attīstībai pētniecības un inovāciju jomā, </w:t>
            </w:r>
            <w:r w:rsidR="00000000" w:rsidRPr="00000000" w:rsidDel="00000000">
              <w:rPr>
                <w:u w:val="single"/>
                <w:rtl w:val="0"/>
              </w:rPr>
              <w:t xml:space="preserve">lai radītu ar kosmosa nozari saistītus jaunus produktus un tehnoloģijas</w:t>
            </w:r>
            <w:r w:rsidR="00000000" w:rsidRPr="00000000" w:rsidDel="00000000">
              <w:rPr>
                <w:rtl w:val="0"/>
              </w:rPr>
              <w:t xml:space="preserve">, kas veicina uzņēmumu jaunu zināšanu apguvi un ieņēmumu palielināšanos, tādējādi veicinot eksporta apjomu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8 127 804 euro, tai skaitā elastības finansējuma apjoms 1 281 960 euro, tai skaitā ERAF finansējums 6 908 633 euro, tai skaitā elastības finansējuma apjoms 1 089 666 euro, un valsts budžeta līdzfinansējums 1 219 171 euro, tai skaitā elastības finansējuma apjoms 192 294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un nodrošināt līdzfinansējumu arī no privātā finansējuma, ņemot vērā, ka finansējuma saņēmējs ir arī sabiedrība ar ierobežotu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attiecināmais finansējums ir 8 127 804 euro, tai skaitā elastības finansējuma apjoms 1 281 960 euro, tai skaitā ERAF finansējums 6 908 633 euro, tai skaitā elastības finansējuma apjoms 1 089 666 euro, un valsts budžeta līdzfinansējums 1 219 171 euro, tai skaitā elastības finansējuma apjoms 192 294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EM ir iesniegusi grozījumus ES kohēzijas politikas programmā Latvijai 2021. - 2027.gadam un iesniegusi informāciju par Programmas papildinājumu, aicinām norādīt precizētos finansējumus, ņemot vērā finansējuma pārdali uz 1.2.3.1. pasākumu "Atbalsts MVU inovatīvas uzņēmējdarbības attīstībai".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ESA BIC Latvia iesniedzot projekta pieteikumu jāatbilst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19.2.un 19.3.apakšpunkts nepilnīgi aptver komercdarbības atbalsta nosacījumus (80.2.un 82.punkts) un var radīt interpretācijas kļūdas, lūdzam tos dzēst. Ja nepieciešams, aicinām papildināt noteikumu 19.punktu ar vispārīgu nosacījumu par de minimis atbalsta nosacījumu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netiek pārsniegts Komisijas regulas 2023/2831 3. panta 2. punktā noteiktais maksimālais de minimis atbalsta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ar noteikumu projekta 19.2. apakšpunktu tiek paredzēts, ka </w:t>
            </w:r>
            <w:r w:rsidR="00000000" w:rsidRPr="00000000" w:rsidDel="00000000">
              <w:rPr>
                <w:i w:val="1"/>
                <w:rtl w:val="0"/>
              </w:rPr>
              <w:t xml:space="preserve">de minimis</w:t>
            </w:r>
            <w:r w:rsidR="00000000" w:rsidRPr="00000000" w:rsidDel="00000000">
              <w:rPr>
                <w:rtl w:val="0"/>
              </w:rPr>
              <w:t xml:space="preserve"> atbalsta piešķiršana projekta īstenošanas laikā nav iespējama. Proti, vai no šīs normas izriet, ka gadījumā, ja projekta iesniegumā plānotās izmaksas, kurām pēc būtības būtu piešķirams </w:t>
            </w:r>
            <w:r w:rsidR="00000000" w:rsidRPr="00000000" w:rsidDel="00000000">
              <w:rPr>
                <w:i w:val="1"/>
                <w:rtl w:val="0"/>
              </w:rPr>
              <w:t xml:space="preserve">de minimis</w:t>
            </w:r>
            <w:r w:rsidR="00000000" w:rsidRPr="00000000" w:rsidDel="00000000">
              <w:rPr>
                <w:rtl w:val="0"/>
              </w:rPr>
              <w:t xml:space="preserve"> atbalsts, pārsniedz projekta iensiedzējam pieejamo </w:t>
            </w:r>
            <w:r w:rsidR="00000000" w:rsidRPr="00000000" w:rsidDel="00000000">
              <w:rPr>
                <w:i w:val="1"/>
                <w:rtl w:val="0"/>
              </w:rPr>
              <w:t xml:space="preserve">de minimis </w:t>
            </w:r>
            <w:r w:rsidR="00000000" w:rsidRPr="00000000" w:rsidDel="00000000">
              <w:rPr>
                <w:rtl w:val="0"/>
              </w:rPr>
              <w:t xml:space="preserve">atbalsta apmēru, tad projekta iesniegums ir noraidāms? Ja tā nav, lūdzam 19.2. apakšpunktu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ir atbilstība Eiropas Savienības fondu 2021.—2027.gada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 apakšpunktu, norādot, ka ESA BIC Latvia </w:t>
            </w:r>
            <w:r w:rsidR="00000000" w:rsidRPr="00000000" w:rsidDel="00000000">
              <w:rPr>
                <w:u w:val="single"/>
                <w:rtl w:val="0"/>
              </w:rPr>
              <w:t xml:space="preserve">nav</w:t>
            </w:r>
            <w:r w:rsidR="00000000" w:rsidRPr="00000000" w:rsidDel="00000000">
              <w:rPr>
                <w:rtl w:val="0"/>
              </w:rPr>
              <w:t xml:space="preserve"> atbilstības Eiropas Savienības fondu 2021.—2027.gada plānošanas perioda vadības likuma 22. pantā noteiktajiem izslēgšanas noteikumiem, ievērojot, ka pašlaik iekļautā apakšpunkta redakcija nav korekta, jo projekta iesniedzējs nedrīkst atbilst minētajiem izslēgšanas noteikumiem, jo, ja projekta iesniedzējs tiem atbilst, tas tiek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precizēt noteikumu projekta 80.4. apakšpunktu, lai būtu viennozīmīga interpretācija par apakšpunktā minētajiem izslēgšanas noteikumiem, piemēram, atsaucoties uz Eiropas Savienības fondu 2021.—2027. gada plānošanas perioda vadības likuma 22. pantā noteiktajiem.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ir atbilstība Eiropas Savienības fondu 2021.—2027.gada plānošanas perioda vadības likuma 22.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 apakšpunktu, jo projekta iesniedzējs nedrīkst atbilst Eiropas Savienības fondu 2021.—2027.gada plānošanas perioda vadības likuma 22. pantā noteiktajiem izslēgšanas noteikumiem. Ja projekta iesniedzējs tiem atbilst, tas tiek noraidīts.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citu organizāciju kā Izglītības un zinātnes ministrijas un Vides aizsardzības un reģionālās attīstības ministrijas pārstāvji, ja nepieciešams, kas sevī ietvers arī citas ministrijas atbilstošās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apakšpunktu, ievērojot to, ka Izglītības un zinātnes ministrijas dalība RIS3 vadības grupa jau noteikta noteikumu projekta 21.6.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nodrošināt, ka lēmumu pieņemšanas procesā visas iesaistītās personas paraksta šo noteikumu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apliecinājuma parakstīšanu pirms projektu vērtēšanas komisijas sēdes, starpposma un gala nodevumu vērtēšanas,un ja nepieciešams, novēršot vai labojot identificētos riskus vai konstatēto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 apakšpunkta redakcija neatbilst  noteikumu projektā norādītajai informācijai - noteikumu projekta 61. punkts paredz nosacījumu par komisijas izveidi, taču tās pienākumos neietilpst starpposma un gala nodevumu vērtēšana. Ja tomēr paredzēts, ka komisijas pienākumos ietilpst arī starpposma un gala nodevumu vērtēšana, lūdzam to precīzi noteikt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saskaņot 29.8. apakšpunktā un 61. punktā lietoto "projektu vērtēšanas komisija" un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komunikācijas un vizuālās identitātes prasību pasākumu nodrošināšana, ievērojot nediskriminācijas principus (informācijas un publicitātes pasākumu nodrošināšana saskaņā ar saistošo normatīvo aktu un citu dokumentu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37.5.punktu, papildinot to ar nosacījumu, ka uz komunikācijas un vizuālās identitātes prasību pasākumu nodrošināšanu nav attiecināmi komercdarbības atbalsta kontroles regulējuma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Pasākuma ietvaros gala labuma guvējam tiešās attiecināmās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apraksts, kas skaidro, kādēļ nav iespējams paredzēt vienkāršotās izmaksas LIAA nodrošinātajam atbalstam gala saņēmējam, taču līdzīgi vienreizēji maksājumi pieteikumu sagatavošanā ir noteikti, piemēram, 1.2.1.2. pasākuma "Atbalsts tehnoloģiju pārneses sistēmas pilnveidošanai" ietvaros, kur vienreizējais maksājums 50 000 EUR apmērā tiek piešķirts par par iesniegto projekta pieteikumu (Eiropas Komisijas Izcilības zīmoga sertifikātu (</w:t>
            </w:r>
            <w:r w:rsidR="00000000" w:rsidRPr="00000000" w:rsidDel="00000000">
              <w:rPr>
                <w:i w:val="1"/>
                <w:rtl w:val="0"/>
              </w:rPr>
              <w:t xml:space="preserve">Seal of Excellence</w:t>
            </w:r>
            <w:r w:rsidR="00000000" w:rsidRPr="00000000" w:rsidDel="00000000">
              <w:rPr>
                <w:rtl w:val="0"/>
              </w:rPr>
              <w:t xml:space="preserve">)) MVK instrumenta 2. fāzē, tādēļ nav saprotams, kādēļ līdzīgu maksājuma veidu nav iespējams paredzēt arī šī pasākuma ietvaros. Šobrīd saskatām ievērojamu administratīvo slogu gan finansējuma saņēmēja, gan sadarbības iestādes pusē, tādēļ lūdzam atkārtoti izvērtēt vienreizējā maksājuma paredzēšanas iespēju LIAA nodrošinātajam atbalstam gala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Vienkāršoto izmaksu vienotā izmaksu likme </w:t>
            </w:r>
            <w:r w:rsidR="00000000" w:rsidRPr="00000000" w:rsidDel="00000000">
              <w:rPr>
                <w:rtl w:val="0"/>
              </w:rPr>
              <w:t xml:space="preserve">39.7.</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apakšpunktos</w:t>
            </w:r>
            <w:r w:rsidR="00000000" w:rsidRPr="00000000" w:rsidDel="00000000">
              <w:rPr>
                <w:rtl w:val="0"/>
              </w:rPr>
              <w:t xml:space="preserve"> minētajām personāla izmaksām ir līdz 20%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vai vienotā likme ir nosakāma "līdz 20%" apmērā. Aicinām dzēst vārdu "līdz".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samazinātu administratīvo slogu, lūdzam izvērtēt iespēju piemērot vienoto izmaksu likmi arī EM projekta vadības personāla izmaksām (38.1. apakšpunktā norādītās izmaksas) un ESA BIC Latvija projekta vadības personāla izmaksām (40.7. apakšpunktā norādītās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 šo noteikumu </w:t>
            </w:r>
            <w:r w:rsidR="00000000" w:rsidRPr="00000000" w:rsidDel="00000000">
              <w:rPr>
                <w:rtl w:val="0"/>
              </w:rPr>
              <w:t xml:space="preserve">38.2.</w:t>
            </w:r>
            <w:r w:rsidR="00000000" w:rsidRPr="00000000" w:rsidDel="00000000">
              <w:rPr>
                <w:rtl w:val="0"/>
              </w:rPr>
              <w:t xml:space="preserve">, </w:t>
            </w:r>
            <w:r w:rsidR="00000000" w:rsidRPr="00000000" w:rsidDel="00000000">
              <w:rPr>
                <w:rtl w:val="0"/>
              </w:rPr>
              <w:t xml:space="preserve">39.2.</w:t>
            </w:r>
            <w:r w:rsidR="00000000" w:rsidRPr="00000000" w:rsidDel="00000000">
              <w:rPr>
                <w:rtl w:val="0"/>
              </w:rPr>
              <w:t xml:space="preserve">,</w:t>
            </w:r>
            <w:r w:rsidR="00000000" w:rsidRPr="00000000" w:rsidDel="00000000">
              <w:rPr>
                <w:rtl w:val="0"/>
              </w:rPr>
              <w:t xml:space="preserve">40.2. </w:t>
            </w:r>
            <w:r w:rsidR="00000000" w:rsidRPr="00000000" w:rsidDel="00000000">
              <w:rPr>
                <w:rtl w:val="0"/>
              </w:rPr>
              <w:t xml:space="preserve"> un </w:t>
            </w:r>
            <w:r w:rsidR="00000000" w:rsidRPr="00000000" w:rsidDel="00000000">
              <w:rPr>
                <w:rtl w:val="0"/>
              </w:rPr>
              <w:t xml:space="preserve">41.2.</w:t>
            </w:r>
            <w:r w:rsidR="00000000" w:rsidRPr="00000000" w:rsidDel="00000000">
              <w:rPr>
                <w:rtl w:val="0"/>
              </w:rPr>
              <w:t xml:space="preserve">  apakšpunktā minētajām iekšzemes komandējumu un transporta pakalpojuma izmaksām, 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iespējas un neskaidrības, lūgums precizēt , ka transporta pakalpojumu izmaksām, kas attiecas uz maksu par degvielu un maksu par sabiedriskā transporta izmantošanu tiks attiecināta atbilstoši vadošās iestādes izstrādātai metodikai. Vēršam uzmanību, ka transportlīdzekļu noma, transporta pakalpojumu pirkšanas izmaksas neietilpst minētajā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pasākuma ieviešanas RIS3 pārvaldības modeļa darbība Ekonomikas ministrija turpinās un pilnveidos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šī punkta redakciju, jo tā gramatiski neiet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ESA BIC Latvia vai LIAA pieņemto lēmumu par neatbilstību komercdarbības atbalsta saņemšanas nosacījumiem var apstrīdēt nozares ministrijā. Nozares ministrijas pieņemto lēmumu gala labuma guvējs var apstrīdēt Administratīvajā rajona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gadījumā, kad finansējuma saņēmējam projekta īstenošanā deleģēts uzdevums sniegt atbalstu gala labuma guvējam, noteikumu projektā jāparedz arī </w:t>
            </w:r>
            <w:r w:rsidR="00000000" w:rsidRPr="00000000" w:rsidDel="00000000">
              <w:rPr>
                <w:u w:val="single"/>
                <w:rtl w:val="0"/>
              </w:rPr>
              <w:t xml:space="preserve">atbalsta piešķiršanas strīdu risināšanas kārtība</w:t>
            </w:r>
            <w:r w:rsidR="00000000" w:rsidRPr="00000000" w:rsidDel="00000000">
              <w:rPr>
                <w:rtl w:val="0"/>
              </w:rPr>
              <w:t xml:space="preserve"> starp finansējuma saņēmēju (atbalsta sniedzēju) un gala labuma guvēju jau </w:t>
            </w:r>
            <w:r w:rsidR="00000000" w:rsidRPr="00000000" w:rsidDel="00000000">
              <w:rPr>
                <w:u w:val="single"/>
                <w:rtl w:val="0"/>
              </w:rPr>
              <w:t xml:space="preserve">pirms līguma noslēgšanas</w:t>
            </w:r>
            <w:r w:rsidR="00000000" w:rsidRPr="00000000" w:rsidDel="00000000">
              <w:rPr>
                <w:rtl w:val="0"/>
              </w:rPr>
              <w:t xml:space="preserve">, proti, jāparedz, kā var tikt apstrīdēts un pārsūdzēts finansējuma saņēmēja lēmums par atbalsta piešķiršanu gala labuma guvējam. Lūdzam atbilstoši precizēt noteikumu projekta 65. punktu, papildinot ar norādi arī uz lēmumu par atbalsta piešķiršanu gala labuma guvējam.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Sadarbības iestāde piešķir de minimis atbalstu ESA BIC Latvia saskaņā ar Komisijas regulu Nr. 2023/2831. Sadarbības iestāde pieņem lēmumu par finansējuma piešķiršanu. Lēmuma pieņemšanas diena ir uzskatāma par komercdarbības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noteikumu 70.punkta pirmā teikuma beigu palīgteikumu "un normatīvajiem aktiem par de minimis atbalsta uzskaites un piešķiršanas kārtību un de minimis atbalsta uzskaites veidlapu paraugiem", jo šis pienākums attiecas arī uz CFLA kā sadarbības iestādi.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80.2. plānotais de minimis atbalsts kopā ar iepriekšējos trīs gados no atbalsta piešķiršanas brīža saņemto de minimis atbalstu viena vienota uzņēmuma līmenī nepārsniedz Komisijas regulas 2023/2831 3. panta 2. punktā noteikto maksimālo de minimis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kur viens vienots uzņēmums atbilst Komisijas regulas Nr. 2023/2831 2.panta 2.punktā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komercdarbības atbalsta nosacījumu, kas izriet no Komisijas regulas Nr.2023/2831, ievērošanu, lūdzam vārdu "saņemto", kas teikumā ir aiz vārda "brīža", aizstāt ar vārdu "piešķirto".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Atbilstoši Komisijas regulas Nr. 2023/2831 6. panta 3. punktam noteiktajam informācijas pieejamību nodrošina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81.punktā minētās atsauces, norādot sasaisti ar Komisijas regulas Nr.2023/2831 6.panta 3.punktu un Komisijas regulas Nr.2023/2831 6.panta 7.punktu, vai arī dzēst noteikumu 81.punktā ietvertās atsauces uz Komisijas regulas Nr.2023/2831 6.panta punktiem, atstājot nosacījumu par pienākumu nodrošināt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ka visos komercdarbības atbalsta sniegšanas līmeņos tiek ievērotas visas Komisijas regulas Nr.2023/2831 prasības, proti, ESA BIC Latvia šo noteikumu ietvaros ietvaros ir iespējams ne tikai kā de minimis atbalsta piešķīrējs, bet arī ka de minimis atbalsta saņēmējs gadījumos, kad tam de minimis atbalstu piešķir CFLA kā sadarbības iestāde, un šādā gadījumā arī attiecībā uz CFLA attiecas dokumentu glabāšanas pienākums, aicinām noteikumu 81.punktu izteikt,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pieejamību 10 gadus, skaitot no dienas, kad ir piešķirts pēdējais atbalsts saskaņā ar atbalsta shēmu atbilstoši Komisijas regulai Nr.2023/2831. Gala labuma guvējs nodrošina informācijas pieejamību 10 gadus no atbalsta piešķiršanas dienas. Attiecībā uz sadarbības iestādes piešķirto atbalstu ESA BIC Latvia saskaņā ar Komisijas regulu Nr.2023/2831, sadarbības iestāde un ESA BIC Latvia nodrošina informācijas pieejamību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Finansējuma saņēmējs nepiešķir gala labuma guvējam de minimis atbalstu, ja de minimis atbalsts ir saistīts ar kādu no Komisijas regulas Nr. 2023/2831 1. panta 1. punktā,  Eiropas Parlamenta un Padomes 2021. gada 24. jūnija Regulas (ES) Nr. 2021/1058 par Eiropas Reģionālās attīstības fondu un Kohēzijas fondu 7. panta 1. punktā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aicinām 82.punktā minēto nosacījumu izdalīt atsevišķā punktā,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atbalstu nepiešķir Komisijas regulas Nr.2023/2831 1.panta 1.punkta a), b), c) un d) apakšpunktā noteiktajām nozarēm un Komisijas regulas Nr.2023/2831 1.panta 1.punkta e) un f) apakšpunktā noteiktajām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nosacījumus par nozaru un darbību ierobežojumiem, kas nav saistīti ar Komisijas regulu Nr.2023/2831, neietvert noteikumu projekta VI. nodaļā.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tiek pārkāptas Komisijas regulas Nr. 2023/2831 prasības, gala labuma guvējam un ESA BIC Latvia ir pienākums atmaksāt atbalsta sniedzējam visu projekta ietvaros saņemto nelikumīgo de minimis atbalstu kopā ar procentiem no līdzekļiem, kas brīvi no komercdarbības atbalsta, atbilstoši Komercdarbības atbalsta kontroles likuma IV vai V nodaļas nosacījumiem. ESA BIC Latvia nelikumīgo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noteikumu ietvaros ir iespējami divi de minimis atbalsta piešķiršanas gadījumi - kad de minimis atbalsta saņēmējs ir gala labuma guvējs un kad atbalsta saņēmējs ir ESA BIC Latvia, lūdzam precizēt noteikumu 83.punktu tā, lai būtu skaidra nelikumīgi saņemtā de minimis atbalsta atgūšana attiecībā uz de minimis atbalstu, kas piešķirts konkrētam subjektam.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gala labuma guvējs un ESA BIC Latvia vienlaikus darbojas vienā vai vairākās šo noteikumu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82. punktā</w:t>
            </w:r>
            <w:r w:rsidR="00000000" w:rsidRPr="00000000" w:rsidDel="00000000">
              <w:rPr>
                <w:rtl w:val="0"/>
              </w:rPr>
              <w:t xml:space="preserve"> neatbalstāmajās nozarēs un veic neatbalstāmās darbības vai citas darbības, kas ietilpst Komisijas regulas Nr. 2023/2831 darbības jomā, tas nodrošina šo nozaru darbību vai izmaksu nodalīšanu saskaņā ar Komisijas regulas Nr. 2023/2831 1. panta 2. punktu. Vienlaikus tas nodrošina, ka darbības nozarēs, kuras ir izslēgtas no Komisijas regulas Nr. 2023/2831 darbības jomas, negūst labumu no de minimis atbalsta, ko piešķir saskaņā ar šo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nosacījumu ievērošanu attiecībā uz nozaru un darbību ierobežojumiem, aicinām noteikumu projekta 85.punktu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un ESA BIC Latvia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85.punktā atsauce uz noteikumu punktiem, kuros ir ietverti nozaru un darbību ierobežojumi, kas neizriet no Komisijas regulas Nr.2023/2831, nav nepieciešama, jo tas jau ir noteikts noteikumu 84.punktā.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punktā "Pašreizējā situācija, problēmas un risinājumi" iekļauto tekstu "Ekonomikas ministrija neparedz izstrādāt vienkāršoto izmaksu metodiku nefinanšu atbalstam, šo pieeju saskaņojot ar Eiropas Komisiju. Ja Eiropas Komisija nesaskaņos Ekonomikas ministrijas pieeju, tiks izstrādāta vienkāršoto izmaksu metodika nefinanšu atbalstam" atbilstoši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Nr.2023/2831 par Līguma par Eiropas Savienības darbību 107. un 108. panta piemērošanu de minimis atbalstam ir pieņemta 2023. gada 13. decembrī, nevis 2013.gada 13.decembrī, attiecīgi aicinām labot anotācijas 1.3.sadaļā iekļauto atsauci uz Komiijas regulas Nr.2023/2831 pieņemšanas gadu no 2013.gada uz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noteikumu 62.punktu de minimis atbalstu gala labuma guvējam sniedz ne tikai ESA BIC Latvia, bet arī LIAA, aicinām pēc līdzības, kā tas anotācijā ir skaidrots par ESA BIC Latvia kā de minimis atbalsta sniedzēju gala labuma guvējam, papildināt anotāciju arī ar skaidrojumu attiecībā uz LIAA kā de minimis atbalsta sniedzēju gala labuma guvējam, jo šobrīd no anotācijas šī informācija neizriet.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plašāku skaidrojumu, kā tiks nodrošināta demarkācija starp šo pasākumu un 5.1.1.1.i. investīciju  “Pilnvērtīga inovāciju sistēmas pārvaldības modeļa izstrāde un tā nepārtraukta darbināšana”, kādas pārbaudes tiks veiktas un kas tās pārbaudīs.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iekļaut anotācijā izziņas 8.punktā iekļauto skaidrojumu attiecībā uz to, ka partnera ESA BIC piesaiste  RIS3 vadības grupas darbībai kosmosa atbalsta jomā pamatojama ar uzņēmējdarbības atklājuma principu, t.sk. sniedzot pamatojumu attiecībā par lēmumu tieši kosmosa nozares kā ekosistēmas izcelšanai šajā gadījumā (statistika, plāni, starptautiskas vienošanās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turpmāk aicinām EM jebkādas izmaiņas darbā ar ekosistēmām nofiksēt arī dokumentāli, piemēram, ar LIAA/EM/IPPP  lēmumiem par nepieciešamo partneru piesaisti RIS3 pārvaldībai, piemēram, pamatojoties  uz  kādas nozares (šajā gadījumā kosmosa nozares) statistiku, specifiku utt., kur LIAA kā koordinatora joma potenciāli varētu nedot sagaidāmo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informēt vadošo iestādi par aktuālo statusu saistībā ar anotācijas 1.3.sadaļā ietverto informāciju - "Ekonomikas ministrija neparedz izstrādāt vienkāršoto izmaksu metodiku nefinanšu atbalstam, šo pieeju saskaņojot ar Eiropas Komisiju. Ja Eiropas Komisija nesaskaņos Ekonomikas ministrijas pieeju, tiks izstrādāta vienkāršoto izmaksu metodika nefinanšu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anotācijās attiecībā uz 1.3.sadaļā minēto izņēmuma gadījumu "Papildus uz LIAA un ESA BIC Latvija sniegto komercdarbības atbalstu būtu piemērojams  Regula Nr.2021/1060 53. panta 2. punktā minētais izņēmuma gadījums vienotas likmes noteikšanai, ņemot vērā, ka:"  un svītrot informāciju, ka izņēmuma gadījums var kalpot par pamatu vienotās likmes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1.3. punktā "Pašreizējā situācija, problēmas un risinājumi" dzēst informāciju/atsauces uz sadarbības partneri, ņemot vērā, ka noteikumu projekts neparedz sadarbības partneru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3.sadaļā precizēto finansiālo ietekmi atspoguļot arī 5.1.apakšpunktā un 6.punktā finansējuma sadalījumu pa gadiem norādīt veselos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26.03.2024.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26.03.2024.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