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3. jūlija noteikumos Nr. 458 "Komersantu - darbiekārtošanas pakalpojumu sniedzēju - licencēšanas un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Komersants par licenci maksā valsts nodevu 500</w:t>
            </w:r>
            <w:r w:rsidR="00000000" w:rsidRPr="00000000" w:rsidDel="00000000">
              <w:rPr>
                <w:i w:val="1"/>
                <w:rtl w:val="0"/>
              </w:rPr>
              <w:t xml:space="preserve"> euro</w:t>
            </w:r>
            <w:r w:rsidR="00000000" w:rsidRPr="00000000" w:rsidDel="00000000">
              <w:rPr>
                <w:rtl w:val="0"/>
              </w:rPr>
              <w:t xml:space="preserve"> apmērā. Saņemot licenci atkārtoti vai licences dublikātu, licences saņēmējs maksā valsts nodevu 50 </w:t>
            </w:r>
            <w:r w:rsidR="00000000" w:rsidRPr="00000000" w:rsidDel="00000000">
              <w:rPr>
                <w:i w:val="1"/>
                <w:rtl w:val="0"/>
              </w:rPr>
              <w:t xml:space="preserve">euro</w:t>
            </w:r>
            <w:r w:rsidR="00000000" w:rsidRPr="00000000" w:rsidDel="00000000">
              <w:rPr>
                <w:rtl w:val="0"/>
              </w:rPr>
              <w:t xml:space="preserve"> apmērā. Valsts nodevu ieskaita valsts pamatbudžeta ieņēmumu kontā Valsts kasē. Ja Aģentūra pieņem lēmumu par atteikumu izsniegt licenci, valsts nodevu neatmaksā.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proti, lūdzam izslēgt no projekta 2. punktā iekļautā Noteikumu Nr. 458 8. punkta trešo teikumu, kas paredz, ja aģentūra pieņem lēmumu par atteikumu izsniegt licenci, valsts nodevu neatmaksā. Minēto teikumu lūdzam izslēgt šādu apsvērumu dēļ: Valsts kanceleja ar 2018.gada 21.februāra vēstuli Nr.7.3.1/30 informēja visas nozaru ministrijas, ka Valsts sekretāru sanāksmes laikā 2018.gada 1.februārī tika izskatīts jautājums par nepieciešamību un pieļaujamību izstrādāt Ministru kabineta noteikumu projektus, kas paredz valsts nodevas neatmaksāšanas gadījumus. Tā kā likuma “Par nodokļiem un nodevām” regulējums jau šobrīd satur pietiekamu regulējumu par valsts nodevas neatmaksāšanas gadījumiem, Valsts kanceleja informēja, ka turpmāk ir nolemts atteikties no prakses Ministru kabineta noteikumu projektos atrunāt valsts nodevas neatmaksāšanas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16.panta pirmās daļas 11. un 12.punktu un 28.</w:t>
            </w:r>
            <w:r w:rsidR="00000000" w:rsidRPr="00000000" w:rsidDel="00000000">
              <w:rPr>
                <w:vertAlign w:val="superscript"/>
                <w:rtl w:val="0"/>
              </w:rPr>
              <w:t xml:space="preserve">2</w:t>
            </w:r>
            <w:r w:rsidR="00000000" w:rsidRPr="00000000" w:rsidDel="00000000">
              <w:rPr>
                <w:rtl w:val="0"/>
              </w:rPr>
              <w:t xml:space="preserve"> pantu nodevu maksātājam atmaksā tikai pārmaksātās valsts nodevas un nepareizi iemaksātās valsts nodevas. Savukārt atbilstoši minētā likuma 10.panta otrajai daļai Ministru kabineta noteikumos par valsts nodevām nosaka tikai valsts nodevas atmaksas kārtību gadījumos, kad pieņemts nelabvēlīgs gala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šajā gadījumā valsts nodevas atmaksa netiek plānota, tad attiecīgi nav nepieciešams noteikumu projektā atrunāt, ka valsts nodevu neatmaksā, ja aģentūra pieņēmusi lēmumu par atteikumu izsniegt licenci.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Licences darbiekārtošanas pakalpojumu sniegšanai, kas izsniegtas līdz grozījumu šo noteikumu 2.punktā par licences derīguma termiņu spēkā stāšanās dienai, ir derīgas līdz 2027. gada 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anotācijas 1.3. sadaļā ietvert pamatojumu, kāpēc to licenču, kuras izsniegtas līdz projekta spēkā stāšanās dienai, derīguma termiņš ir 2027. gada 1. marts.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w:t>
    </w:r>
    <w:r>
      <w:br/>
    </w:r>
    <w:r w:rsidR="00000000" w:rsidRPr="00000000" w:rsidDel="00000000">
      <w:rPr>
        <w:rtl w:val="0"/>
      </w:rPr>
      <w:t xml:space="preserve">Izdrukāts 29.02.2024. 13.53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24-TA-56</w:t>
    </w:r>
    <w:r>
      <w:br/>
    </w:r>
    <w:r w:rsidR="00000000" w:rsidRPr="00000000" w:rsidDel="00000000">
      <w:rPr>
        <w:rtl w:val="0"/>
      </w:rPr>
      <w:t xml:space="preserve">Izdrukāts 29.02.2024. 13.53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Atzinumi_24-TA-56.docx</dc:title>
</cp:coreProperties>
</file>

<file path=docProps/custom.xml><?xml version="1.0" encoding="utf-8"?>
<Properties xmlns="http://schemas.openxmlformats.org/officeDocument/2006/custom-properties" xmlns:vt="http://schemas.openxmlformats.org/officeDocument/2006/docPropsVTypes"/>
</file>