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23-TA-1986: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Transporta enerģijas siltumnīcefekta gāzu emisiju intensitātes samazināšanas un modernizēšanas pienākuma izpildes aprēķināšanas noteikumi un vispārīgās ziņošanas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Degvielas tirgotāju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09.04.2026.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09.04.2026.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Transporta enerģijas apritē iesaistītā persona ir tiesīga iesniegt Klimata un enerģētikas ministrijā informāciju par transporta enerģijas izejvielām, kuras būtu iekļaujamas šo noteikumu </w:t>
            </w:r>
            <w:r w:rsidR="00000000" w:rsidRPr="00000000" w:rsidDel="00000000">
              <w:rPr>
                <w:rtl w:val="0"/>
              </w:rPr>
              <w:t xml:space="preserve">1. </w:t>
            </w:r>
            <w:r w:rsidR="00000000" w:rsidRPr="00000000" w:rsidDel="00000000">
              <w:rPr>
                <w:rtl w:val="0"/>
              </w:rPr>
              <w:t xml:space="preserve">pielikumā</w:t>
            </w:r>
            <w:r w:rsidR="00000000" w:rsidRPr="00000000" w:rsidDel="00000000">
              <w:rPr>
                <w:rtl w:val="0"/>
              </w:rPr>
              <w:t xml:space="preserve"> iekļautajā izejvielu sarakstā, pievienojot detalizētu pamatojumu par noteikto izejvielu atbilstību Transporta enerģijas pielikuma A vai B daļā noteikto izejvielu kategorijai, vai kuras būtu svītrojamas no minētā izejvielu saraksta.</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82.punktā vārdus “,vai kuras būtu jāsvītro no iepriekš minētā izejvielu saraksta.”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RED III direktīvas 28. panta 6. punkta 1. daļu izejvielas nevar tikt svītrotas no RED III IX pielikuma. Jebkuras izejvielas, kas uzskaitītas RED III IX pielikumā un precizētas Īstenošanas regulas 2022/996 IV pielikumā, nevar svītrot nedz dalībvalstis, nedz Komisija. Tas ir pamatprincips, lai aizsargātu investīciju drošību un darbības nepārtrauktību tiem uzņēmumiem, kas iegulda šajās izejvielās un tehnoloģijās.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IX pielikuma A daļa nozarei ir kalpojusi par spēcīgu politisko vēstījumu investēt šajās izejvielās. Atkritumiem un atlikumiem, kas iekļauti IX pielikuma A daļā, parasti ir nepieciešamas papildu tehnoloģiskās iespējas, lai šīs sarežģītās jaunās izejvielas pārstrādātu biodegvielās. Tāpat dažām no šīm izejvielām ir jāizveido pilnīgi jaunas vērtību ķēdes, lai pilnībā atraisītu to potenciālu.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viens no nozares uzņēmumiem vien ir investējis vairāk nekā 10 miljardus eiro atjaunīgās degvielas ražošanas apjomu palielināšanā, tostarp pētot jaunas izejvielas un tehnoloģiskos risinājumus, kuru pamatā ir IX pielikuma A daļas saraksts. Uzņēmums ir iesaistījies pētniecībā un izstrādē saistībā ar jaunām augu eļļām, kuru pamatā ir reģeneratīvās lauksaimniecības prakses, piemēram, starpkultūras un segkultūras, kā arī lignocelulozes atkritumi, kas visi ir uzskaitīti IX pielikumā.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Uzticības iedragāšana RED III pamatprincipiem varētu apdraudēt ilgtermiņa investīcijas tehnoloģiju attīstības virzienos, kas būs nepieciešami, lai sasniegtu oglekļa neitralitāti.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Transporta enerģijas apritē iesaistītā persona ir tiesīga iesniegt Klimata un enerģētikas ministrijā informāciju par transporta enerģijas izejvielām, kuras būtu iekļaujamas šo noteikumu 1. pielikumā iekļautajā izejvielu sarakstā, pievienojot detalizētu pamatojumu par noteikto izejvielu atbilstību Transporta enerģijas pielikuma A vai B daļā noteikto izejvielu kategorijai.</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Ligere</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23-TA-1986</w:t>
    </w:r>
    <w:r>
      <w:br/>
    </w:r>
    <w:r w:rsidR="00000000" w:rsidRPr="00000000" w:rsidDel="00000000">
      <w:rPr>
        <w:rtl w:val="0"/>
      </w:rPr>
      <w:t xml:space="preserve">Izdrukāts 09.04.2026. 12.35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23-TA-1986</w:t>
    </w:r>
    <w:r>
      <w:br/>
    </w:r>
    <w:r w:rsidR="00000000" w:rsidRPr="00000000" w:rsidDel="00000000">
      <w:rPr>
        <w:rtl w:val="0"/>
      </w:rPr>
      <w:t xml:space="preserve">Izdrukāts 09.04.2026. 12.35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Atzinumi_23-TA-1986.docx</dc:title>
</cp:coreProperties>
</file>

<file path=docProps/custom.xml><?xml version="1.0" encoding="utf-8"?>
<Properties xmlns="http://schemas.openxmlformats.org/officeDocument/2006/custom-properties" xmlns:vt="http://schemas.openxmlformats.org/officeDocument/2006/docPropsVTypes"/>
</file>