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attīstības pamatnostādņu 2021. – 2027. gadam „Nākotnes prasmes nākotnes sabiedrībai” RĪCĪBAS PLĀNS 2024. –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attīstības pamatnostādņu 2021. – 2027. gadam „Nākotnes prasmes nākotnes sabiedrībai” RĪCĪBAS PLĀNS 2024. – 2025.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rezultatīvo rādītāju VARAM kompetencē esošiem pasākumiem, kas  iekļauti Plāna virzienā M3, t.sk.: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Pasākuma "3.3.1.2.Nodrošināt Latvijas iedzīvotājiem vienlīdz kvalitatīvu pieaugušo neformālās izglītības piedāvājumu" rezultatīvo 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"ir izstrādāta un ieviesta digitālo pašapkalpošanās prasmju izglītības programma atbilstoši  (t.sk. izglītības programmas Eiropas Iedzīvotāju digitālo kompetenču ietvara (DigComp) 1.-3. līmenim).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(AF 2.3.2.1.i. investīcijas VARAM projekts)".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 Pasākuma "3.3.1.2.Nodrošināt Latvijas iedzīvotājiem vienlīdz kvalitatīvu pieaugušo neformālās izglītības piedāvājumu" rezultatīvo 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"40 000 personas ir pilnveidojušas pašapkalpošanās digitālās prasmes līdz 2026. gada 30.aprīlim (līdz 2025. gada aprīlim – 15 000).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(AF 2.3.2.1.i. investīcijas VARAM projekts)".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Elita Zvaigzne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16.01.2025. 23.21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16.01.2025. 23.21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