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kompensāciju par Covid-19 vakcīnas blakusparādību izraisīto smagu vai vidēji smagu kaitējumu pacienta veselībai vai dzīvībai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Aģentūra pēc iesnieguma saņemšanas izvērtē tajā iekļauto informāciju un pievienotos dokumentus. Ja aģentūra konstatē, ka iesniegums vai pievienotie dokumenti ir nepilnīgi, tā 15 darbdienu laikā pēc iesnieguma saņemšanas rakstiski pieprasa iesniedzējam mēneša laikā iesniegt papildu informāciju. Šajā gadījumā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minētais termiņš tiek apturēts līdz dienai, kad aģentūrā iesniegta pieprasītā papildu informācija vai beidzies informācijas iesniegšanai noteiktais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norādot saziņas veidu (elektroniski vai pa pastu) aģentūra pieprasa papildu informāciju, ņemot vērā, ka iesniegumā (projekta 2.pielikums) persona norāda gan dzīvesvietas adresi, gan elektroniskā pasta adresi. Vienlaikus vēršam uzmanību, ka atbilstoši Oficiālās elektroniskās adreses likuma 12.panta pirmajai daļai, ja ir aktivizēts oficiālās elektroniskās adreses konts, valsts iestāde un privātpersona sazinās elektroniski un elektronisko dokumentu nosūta, izmantojot oficiālo elektronisko adresi. Līdz ar to projekts precizējams, nosakot, vai aģentūra sazinās ar personu, izmantojot oficiālo elektronisko adresi, vai elektroniski, pieprasījumu nosūtot uz personas elektronisko pasta adresi, vai pa pastu, nosūtot pieprasījumu uz personas dzīvesvietas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aizpildīt anotācijas 7. sadaļu, jo nav sniegta informācija kā projekts ietekmēs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attiecīgajām institūcijām administratīvais slogs palielināsies, samazināsies vai paliks nemainīgs.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iesniegumu iesniedz par personu līdz 18 gadu vecumam vai  par personu, kurai noteikta aizgādnība, vai iesniegumu iesniedz uz pilnvarojuma pamata, tad iesniegumam pievieno dokumentu, kas apliecina likumiskā pārstāvja, aizgādņa vai pilnvarotās personas pārstāvības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un nepieciešamības gadījumā precizēt projektu kopumā attiecībā uz iesniegumam pievienojamo dokumentu (dokumenti, kas minēti gan projekta 5.punktā, 6.punktā, 7.punktā un 8.punktā) iesniegšanu, norādot, vai iesniedzami dokumentu oriģināli, kopijas (vai nepieciešams dokumenta kopijas apliecinājums), vai pietiekami būtu uzrādīt tikai dokumentu oriģinālu iesnieguma iesniegšanas brīdī. Anotācijā tiek norādīts, "ja iesniegumu iesniedz par nepilngadīgu personu (līdz 18 gadu vecumam) vai  par personu, kurai noteikta aizgādnība, vai iesniegumu iesniedz uz pilnvarojuma pamata, tad iesniegumam pievienojams attiecīgs dokuments, kas apliecina likumiskā pārstāvja, aizgādņa vai pilnvarotās personas pārstāvības tiesības  (piemēram, </w:t>
            </w:r>
            <w:r w:rsidR="00000000" w:rsidRPr="00000000" w:rsidDel="00000000">
              <w:rPr>
                <w:u w:val="single"/>
                <w:rtl w:val="0"/>
              </w:rPr>
              <w:t xml:space="preserve">dzimšanas apliecību, bāriņtiesas lēmumu par aizbildniecības iecelšanu, bāriņtiesas lēmumu par aizgādņa vai pagaidu aizgādņa iecelšanu noteiktajā pārstāvības apjomā utml</w:t>
            </w:r>
            <w:r w:rsidR="00000000" w:rsidRPr="00000000" w:rsidDel="00000000">
              <w:rPr>
                <w:rtl w:val="0"/>
              </w:rPr>
              <w:t xml:space="preserve">.)". Tieslietu ministrijai ir šaubas, vai projektā noteikto mērķu sasniegšanai nepieciešams saņemt dzimšanas apliecības oriģinālu, turklāt, ņemot vērā personas datu minimizēšanas principu, būtu apsverams projektā veikt norādi, ka iesniegumam pievieno attiecīgo dokumentu kopijas, saglabājot iespēju nepieciešamības gadījumā iesniedzējam lūgt uzrādīt dokumenta oriģinālu.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aģentūra konstatē, ka ārsta slēdziens ir nepilnīgs, tā 15 darbdienu laikā pēc iesnieguma saņemšanas rakstiski pieprasa ārstam iesniegt papildu informāciju. Šajā gadījumā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minētais termiņš tiek apturēts līdz dienai, kad aģentūrā iesniegta pieprasītā papildu informācija vai beidzies informācijas iesniegšanai noteiktais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anotāciju papildināt ar skaidrojumu, kā tiek veikta saziņa ar ārstu (elektroniski, telefoniski, izmantojot informācijas sistēmu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pacienta nāves gadījumā nav iesniegta apliecība par laulātā mantas daļu vai mantojuma apliecība, un iesniedzējs attiecīgo informāciju nav iesniedzis arī pēc aģentūras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10.7.apakšpunktu, jo tas dublē 10.6.apakšpunktu.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izvērtētu iesniegumu, aģentūra ir tiesīga: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atbilstoši likumdevēja dotajam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iekārtas likuma 31. panta pirmās daļas 1. punktam Ministru kabinets var izdot ārējus normatīvos aktus - noteikumus, ja likums Ministru kabinetu tam īpaši pilnvarojis. Pilnvarojumā norāda tā galvenos satura virzienus.  Atbilstoši Pacientu tiesību likumā dotajam pilnvarojumam, Ministru kabinets nosaka prasības un kārtību, kādā pieprasa, piešķir un izmaksā kompensāciju vai atsaka tās piešķiršanu, kā arī nosaka izmaksājamās kompensācijas apmēru atbilstoši kaitējuma smagumam, nepārsniedzot 142 290 euro, ja radies smags vai vidēji smags kaitējums pacienta veselībai vai dzīvībai apstiprināto Covid-19 vakcīnas blakusparādību dēļ. Projekta 15.punktā tiek noteiktas aģentūras vispārīgas tiesības, kas neietilpst Ministru kabinetam deleģētājā pilnvarojumā. Ievērojot minēto lūdzam no projekta svītrot 15.punktu, jo tas neatbilst Pacientu tiesību likumā dotajam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atsauci uz Vispārīgo datu aizsardzības regulu. Skaidrojam, ka Eiropas Parlamenta un Padomes 2016. gada 27. aprīļa Regulas (ES) 2016/679 Par fizisku personu datu aizsardzību attiecībā uz personas datu apstrādi un šādu datu brīvu apriti un ar ko atceļ Direktīvu 95/46/EK (Vispārīgā datu aizsardzības regula) parasti tiek saīsinājumā apzīmēta kā Vispārīgā datu </w:t>
            </w:r>
            <w:r w:rsidR="00000000" w:rsidRPr="00000000" w:rsidDel="00000000">
              <w:rPr>
                <w:u w:val="single"/>
                <w:rtl w:val="0"/>
              </w:rPr>
              <w:t xml:space="preserve">aizsardzības</w:t>
            </w:r>
            <w:r w:rsidR="00000000" w:rsidRPr="00000000" w:rsidDel="00000000">
              <w:rPr>
                <w:rtl w:val="0"/>
              </w:rPr>
              <w:t xml:space="preserve"> regula vai Datu regula. Vēršam uzmanību, ka pielikumā tiek veikta atsauce uz Vispārīgo datu regulu, kas datu subjektam var radīt apgrūtinājumu noteikt piemērojamo normatīvo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ietekmi uz publisko pārvaldi sniedz anotācijas 7.sadaļā. Līdz ar to aicinām precizēt anotācijas 2.sadaļu un ietekmi uz valsts iestādēm  aprakstīt anotācijas 7.sadaļā.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8.1.12.apakšpunktu,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8.1.14. uz diasporu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8.1.14.apakšpunktu,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8.1.15. uz profesiju reglamentāciju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8.1.15.apakšpunktu,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8.1.16.apakšpunktu,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23-TA-2782</w:t>
    </w:r>
    <w:r>
      <w:br/>
    </w:r>
    <w:r w:rsidR="00000000" w:rsidRPr="00000000" w:rsidDel="00000000">
      <w:rPr>
        <w:rtl w:val="0"/>
      </w:rPr>
      <w:t xml:space="preserve">Izdrukāts 01.12.2023. 13.46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23-TA-2782</w:t>
    </w:r>
    <w:r>
      <w:br/>
    </w:r>
    <w:r w:rsidR="00000000" w:rsidRPr="00000000" w:rsidDel="00000000">
      <w:rPr>
        <w:rtl w:val="0"/>
      </w:rPr>
      <w:t xml:space="preserve">Izdrukāts 01.12.2023. 13.46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Atzinumi_23-TA-2782.docx</dc:title>
</cp:coreProperties>
</file>

<file path=docProps/custom.xml><?xml version="1.0" encoding="utf-8"?>
<Properties xmlns="http://schemas.openxmlformats.org/officeDocument/2006/custom-properties" xmlns:vt="http://schemas.openxmlformats.org/officeDocument/2006/docPropsVTypes"/>
</file>