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396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1.3.sadaļā "Risinājuma apraksts" minēto izmaiņas lietotāja tiesību pārvaldībā stāsies spēkā 2026.gada 1.septembrī. Aicinām sniegt skaidrojumu, vai iepriekš minētais ietekmē projekta "Izglītību apliecinošo dokumentu reģistrs" Nr.2.1.2.1.i.0/2/24/I/CFLA/004 rezultātu lietojamību atbilstoši MK 14.07.2022. noteikumiem Nr. 435 "Eiropas Savienības Atveseļošanas un noturības mehānisma plāna 2. komponentes "Digitālā transformācija" 2.1. reformu un investīciju virziena "Valsts pārvaldes, tai skaitā pašvaldību, digitālā transformācija" īstenošanas noteikumi", kas nosaka, ka projektu rezultātu izmantos vismaz 10 struktūrvienības, iestādes vai publiskas personas kapitālsabiedrības vismaz piecās valstspilsētu un novadu pašvaldībās (līdz 31.maijam).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24.04.2026.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24.04.2026.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Atzinumi_26-TA-755.docx</dc:title>
</cp:coreProperties>
</file>

<file path=docProps/custom.xml><?xml version="1.0" encoding="utf-8"?>
<Properties xmlns="http://schemas.openxmlformats.org/officeDocument/2006/custom-properties" xmlns:vt="http://schemas.openxmlformats.org/officeDocument/2006/docPropsVTypes"/>
</file>