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var tikt interpretēta tā, ka valsts budžeta apropriācijas pārdales pienākums attiecas uz visām Valsts kases pakalpojumu saņēmējām, nevis tikai tām, kuras faktiski tiek reorganizētas. Lūdzam precizēt MK sēdes protokollēmuma projekta 3.punkta redakciju, skaidri nosakot, ka apropriācijas pārdales pienākums attiecas tikai uz tām iestādēm, kurām tiek īstenota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Pētersone (NEPLP)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05.02.2026.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05.02.2026.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