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22-TA-3420: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Apdraudējuma novēršanas kārtība nacionālajai drošībai nozīmīgām komercsabiedrībām, biedrībām un nodibinājumiem.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6.6.2. attiecīgās nacionālajai drošībai nozīmīgas personālsabiedrības vai biedrības biedru kontroles ķēdi līdz patiesajiem labuma guvējiem vai netiešās ietekmes ieguvējiem pirms un pēc plānotas biedra statusa iegūšanas.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Biedrību un nodibinājumu likuma 2.panta pirmajai daļai biedrība ir </w:t>
            </w:r>
            <w:r w:rsidR="00000000" w:rsidRPr="00000000" w:rsidDel="00000000">
              <w:rPr>
                <w:u w:val="single"/>
                <w:rtl w:val="0"/>
              </w:rPr>
              <w:t xml:space="preserve">brīvprātīga personu apvienīb</w:t>
            </w:r>
            <w:r w:rsidR="00000000" w:rsidRPr="00000000" w:rsidDel="00000000">
              <w:rPr>
                <w:rtl w:val="0"/>
              </w:rPr>
              <w:t xml:space="preserve">a, kas nodibināta, lai sasniegtu statūtos noteikto mērķi, kam nav pelņas gūšanas rakstura. Vēršam uzmanību, ka biedrības iekšējā organizatoriskajā struktūrā nav paredzēts biedru kontroles mehānisms. Ievērojot minēto, ierosinām papildināt projekta anotāciju ar skaidrojumu attiecībā uz biedrībām par to, kāda informācija biedrībām ir jāiesniedz, lai noteikumu projektā ietvertais regulējums būtu skaidrs un saprotams.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Sermā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7.4.2. attiecīgās nacionālajai drošībai nozīmīgas biedrības vai personālsabiedrības biedru kontroles ķēdi līdz patiesajiem labuma guvējiem vai netiešās ietekmes ieguvējiem pirms un pēc patiesa labuma guvēja vai netiešās ietekmes ieguvēja maiņas.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Biedrību un nodibinājumu likuma 2.panta pirmajai daļai biedrība ir brīvprātīga personu apvienība, kas nodibināta, lai sasniegtu statūtos noteikto mērķi, kam nav pelņas gūšanas rakstura. Vēršam uzmanību, ka biedrības iekšējā organizatoriskajā struktūrā nav paredzēts biedru kontroles mehānisms. Ievērojot minēto, ierosinām papildināt projekta anotāciju ar skaidrojumu attiecībā uz biedrībām par to, kāda informācija biedrībām ir jāiesniedz, lai noteikumu projektā ietvertais regulējums būtu skaidrs un saprotams.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Agnese Sermā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Ja saskaņā ar regulas Nr.  2019/452 7. panta 5. punktu no Eiropas Komisijas vai dalībvalsts saņemts informācijas pieprasījums par tādu ārvalstu tiešo ieguldījumu, kuru neizvērtē saskaņā ar Nacionālās drošības likuma VI nodaļas noteikumiem, Ekonomikas ministrija, ja tās rīcībā nav pieprasītās informācijas, nekavējoties nosūta informācijas pieprasījumu komercsabiedrībai kurā ārvalstu tiešais ieguldījums ir veikts, un attiecīgajam ārvalstu ieguldītājam. Minētās personas pieprasīto informāciju iesniedz Ekonomikas ministrijā 10 darbdienu laikā pēc pieprasījuma saņemšanas.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izvērtēt noteikumu projeka 20.punkta otrā teikuma nepieciešamību. Vēršam uzmanību, ka Eiropas Parlamenta un Padomes 2019. gada 19. marta Regulas (ES) 2019/452, ar ko izveido regulējumu ārvalstu tiešo ieguldījumu Savienībā izvērtēšanai, 9. panta 4. punkts jau noteic attiecīgā ārvalstu ieguldītāja vai uzņēmuma pienākumu prasīto informāciju sniegt bez liekas kavēšanās.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22-TA-3420</w:t>
    </w:r>
    <w:r>
      <w:br/>
    </w:r>
    <w:r w:rsidR="00000000" w:rsidRPr="00000000" w:rsidDel="00000000">
      <w:rPr>
        <w:rtl w:val="0"/>
      </w:rPr>
      <w:t xml:space="preserve">Izdrukāts 20.05.2023. 12.17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22-TA-3420</w:t>
    </w:r>
    <w:r>
      <w:br/>
    </w:r>
    <w:r w:rsidR="00000000" w:rsidRPr="00000000" w:rsidDel="00000000">
      <w:rPr>
        <w:rtl w:val="0"/>
      </w:rPr>
      <w:t xml:space="preserve">Izdrukāts 20.05.2023. 12.17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Atzinumi_22-TA-3420.docx</dc:title>
</cp:coreProperties>
</file>

<file path=docProps/custom.xml><?xml version="1.0" encoding="utf-8"?>
<Properties xmlns="http://schemas.openxmlformats.org/officeDocument/2006/custom-properties" xmlns:vt="http://schemas.openxmlformats.org/officeDocument/2006/docPropsVTypes"/>
</file>