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migrācijas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2024.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projekta spēkā stāšanās termiņu, ņemot vērā, ka projekts ir saskaņošanas stadijā un tas vēl ir jāizskata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 (Liene Zariņa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papildināt noteikumu projekta anotāciju, izvērstāk skaidrojot valsts nodevu likmju izmaiņas, kuras anotācijā pašreiz pamatotas ar tādiem apsvērumiem, kā "dokumentu izvērtēšanas procedūra nav atšķirīga", "šādu pieprasījumu skaits pēdējā laikposmā strauji samazinājies", "informācijas sistēmās veicamās pārbaudes un lēmuma sagatavošanas procedūras neatšķiras" u.tml. Proti, aicinām skaidrot, vai sākotnēji atšķirīgo likmju noteikšanai pamatā nebija kādi citi apsvērumi, un attiecīgi skaidrot, vai ir pamatoti attiecīgo likmi pielīdzināt citai likmei.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18.09.2024.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18.09.2024.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Atzinumi_24-TA-1109.docx</dc:title>
</cp:coreProperties>
</file>

<file path=docProps/custom.xml><?xml version="1.0" encoding="utf-8"?>
<Properties xmlns="http://schemas.openxmlformats.org/officeDocument/2006/custom-properties" xmlns:vt="http://schemas.openxmlformats.org/officeDocument/2006/docPropsVTypes"/>
</file>