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attiecībā uz anotācijas 3.sadaļas aizpildīšanu un atkārtoti lūdzam minētajā sadaļā sniegt informāciju par finansējuma samazinājumu, norādot tam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ir sagatavots Eiropas Savienības kohēzijas politikas programmas 2020.-2027.gadam grozījumu Nr.3 priekšlikums, kas vēl nav formāli saskaņots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anotācijas 1.3. sadaļas "Pašreizējā situācija, problēmas un risinājumi" apakšsadaļā "Pašreizējā situācija" redakcionāli precizēt teikumus: "Šobrīd Centrālā finanšu un līgumu aģentūra (turpmāk - CFLA) ir finansējuma saņēmēju atlases procesā. Saņemti 13 projektu iesniegumi, kas šobrīd tiek vērtēti.",  jo šobrīd atlases posms ir noslēdzies un ar projektu iesniedzējiem ir noslēgti līgumi, t.i., projekti jau ir īstenošanas posmā.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Meiere-Auziņa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(izziņas 14.punkts) papildināt Ministru kabineta protokollēmumu ar jaunu punktu, kas nosaka atbildīgās iestādes rīcību gadījumā, ja Eiropas Komisija neatbalsta rādītāju samazinājumu 4.2.4.1.pasākuma “Atbalsts nozaru vajadzībās balstītai pieaugušo izglītībai” 1.kārtā.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saņemts pozitīvs Eiropas Komisijas lēmums par grozījumiem Eiropas Savienības kohēzijas politikas programmā 2021.-2027. gadam, Ekonomikas ministrijai sagatavot un Ekonomikas ministram iesniegt izskatīšanai Ministru kabinetā informatīvo ziņojumu par priekšlikumiem turpmākai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pirmās kārtas ietvaros plānotais kopējais attiecināmais finansējums ir 12 192 294 </w:t>
            </w:r>
            <w:r w:rsidR="00000000" w:rsidRPr="00000000" w:rsidDel="00000000">
              <w:rPr>
                <w:i w:val="1"/>
                <w:rtl w:val="0"/>
              </w:rPr>
              <w:t xml:space="preserve">euro</w:t>
            </w:r>
            <w:r w:rsidR="00000000" w:rsidRPr="00000000" w:rsidDel="00000000">
              <w:rPr>
                <w:rtl w:val="0"/>
              </w:rPr>
              <w:t xml:space="preserve">, tai skaitā Eiropas sociālā fonda Plus finansējums – 10 363 448 </w:t>
            </w:r>
            <w:r w:rsidR="00000000" w:rsidRPr="00000000" w:rsidDel="00000000">
              <w:rPr>
                <w:i w:val="1"/>
                <w:rtl w:val="0"/>
              </w:rPr>
              <w:t xml:space="preserve">euro</w:t>
            </w:r>
            <w:r w:rsidR="00000000" w:rsidRPr="00000000" w:rsidDel="00000000">
              <w:rPr>
                <w:rtl w:val="0"/>
              </w:rPr>
              <w:t xml:space="preserve">  un valsts budžeta līdzfinansējums – 1 828 845 </w:t>
            </w:r>
            <w:r w:rsidR="00000000" w:rsidRPr="00000000" w:rsidDel="00000000">
              <w:rPr>
                <w:i w:val="1"/>
                <w:rtl w:val="0"/>
              </w:rPr>
              <w:t xml:space="preserve">euro</w:t>
            </w:r>
            <w:r w:rsidR="00000000" w:rsidRPr="00000000" w:rsidDel="00000000">
              <w:rPr>
                <w:rtl w:val="0"/>
              </w:rPr>
              <w:t xml:space="preserve">. Maksimālais ESF+ finansējuma apmērs nepārsniedz 85% no projekta kopējā attiecināmā publiskā finansējuma un nacionālais līdzfinansējums ir 15% no projektam plānotā kopējā attiecināmā publiskā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5.punktu, ņemot vēra, ka šobrīd norādītais finansējums nav pietiekošs projektu iesniegumu atlasē apstiprināto projektu kopsummai.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4.2.4.1. pasākuma “Atbalsts nozaru vajadzībās balstītai pieaugušo izglītībai” pirmās kārtas projektu iesniegumu atlasē ir apstiprināti 13 projektu iesniegumi par kopējo publisko finansējumu 12 192 294,01 euro, t.sk. Eiropas sociālā fonda Plus 10 363 448,46 euro un valsts budžeta finansējumu 1 828 845,55 euro. Lūdzam precizēt punktu, nosakot pietiekamu finansējuma apmēru projektu īstenošanai: kopējais pieejamais finansējums 12 192 295 euro, t.sk. ESF+ finansējums 10 363 449 euro un valsts budžeta līdzfinansējums 1 828 846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aizstāt vārdu “plānotais” ar “pieejamais”, ņemot vērā, ka pasākumam vairs netiek paredzēts elastības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pirmās kārtas ietvaros </w:t>
            </w:r>
            <w:r w:rsidR="00000000" w:rsidRPr="00000000" w:rsidDel="00000000">
              <w:rPr>
                <w:b w:val="1"/>
                <w:rtl w:val="0"/>
              </w:rPr>
              <w:t xml:space="preserve">pieejamais </w:t>
            </w:r>
            <w:r w:rsidR="00000000" w:rsidRPr="00000000" w:rsidDel="00000000">
              <w:rPr>
                <w:rtl w:val="0"/>
              </w:rPr>
              <w:t xml:space="preserve">kopējais attiecināmais finansējums ir </w:t>
            </w:r>
            <w:r w:rsidR="00000000" w:rsidRPr="00000000" w:rsidDel="00000000">
              <w:rPr>
                <w:b w:val="1"/>
                <w:rtl w:val="0"/>
              </w:rPr>
              <w:t xml:space="preserve">12 192 295 </w:t>
            </w:r>
            <w:r w:rsidR="00000000" w:rsidRPr="00000000" w:rsidDel="00000000">
              <w:rPr>
                <w:rtl w:val="0"/>
              </w:rPr>
              <w:t xml:space="preserve">euro, tai skaitā Eiropas sociālā fonda Plus finansējums – </w:t>
            </w:r>
            <w:r w:rsidR="00000000" w:rsidRPr="00000000" w:rsidDel="00000000">
              <w:rPr>
                <w:b w:val="1"/>
                <w:rtl w:val="0"/>
              </w:rPr>
              <w:t xml:space="preserve">10 363 449 </w:t>
            </w:r>
            <w:r w:rsidR="00000000" w:rsidRPr="00000000" w:rsidDel="00000000">
              <w:rPr>
                <w:rtl w:val="0"/>
              </w:rPr>
              <w:t xml:space="preserve">euro  un valsts budžeta līdzfinansējums – </w:t>
            </w:r>
            <w:r w:rsidR="00000000" w:rsidRPr="00000000" w:rsidDel="00000000">
              <w:rPr>
                <w:b w:val="1"/>
                <w:rtl w:val="0"/>
              </w:rPr>
              <w:t xml:space="preserve">1 828 846 </w:t>
            </w:r>
            <w:r w:rsidR="00000000" w:rsidRPr="00000000" w:rsidDel="00000000">
              <w:rPr>
                <w:rtl w:val="0"/>
              </w:rPr>
              <w:t xml:space="preserve">euro. Maksimālais ESF+ finansējuma apmērs nepārsniedz 85% no projekta kopējā attiecināmā publiskā finansējuma un nacionālais līdzfinansējums ir 15% no projektam plānotā kopējā attiecināmā publiskā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Ekonomikas ministrija pēc Eiropas Komisijas lēmuma par vidusposma pārskatu var ierosināt no 2026. gada 1. janvāra palielināt pasākuma pirmajai kārtai pieejamo kopējo attiecināmo finansējumu līdz šo noteikumu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minētajam plānotajam kopējam finansējumam, paredzot jaunu projektu iesniegumu atlases kārtu.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noteikumu 9.punktu, jo, svītrojot elastības finansējumu, tas zaudējis aktualitāti.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un finansējuma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2025. gada 21. februārī Ministru prezidentes Evikas Siliņas paziņotās valdības 4x4 prioritātes 2025. gadam, ikgadējā ziņojumā Saeimai iekļauto apņemšanos 2025. gadā turpināt darbu pie birokrātijas mazināšanas pasākumiem ES fondu apguvē un publisko iepirkumu jomā, un 2024. gada 20. janvārī apstiprinātā Valsts rīcības plāna pasākuma 35.4. darbības rezultātu: pārskatītas un iespēju robežās mazinātas nacionālajos horizontālajos un specifisko atbalsta mērķu ieviešanu regulējošajos normatīvajos aktos noteiktās prasības, aicinās Ekonomikas ministriju pārskatīt 4.2.4.1.pasākuma 1.kārtas normatīvo regulējumu un pēc iespējas mazināt finansējuma saņēmējam administratīvo slogu un atteikties no prasībām, kas nav noteiktas kā obligātas saskaņā ar ES un Latvijas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28.03.2025. 18.12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28.03.2025. 18.12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Atzinumi_25-TA-15.docx</dc:title>
</cp:coreProperties>
</file>

<file path=docProps/custom.xml><?xml version="1.0" encoding="utf-8"?>
<Properties xmlns="http://schemas.openxmlformats.org/officeDocument/2006/custom-properties" xmlns:vt="http://schemas.openxmlformats.org/officeDocument/2006/docPropsVTypes"/>
</file>