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00D8" w:rsidP="004F00D8" w:rsidRDefault="004F00D8">
      <w:pPr>
        <w:spacing w:after="0" w:line="240" w:lineRule="auto"/>
        <w:rPr>
          <w:rFonts w:eastAsia="Times New Roman"/>
          <w:color w:val="212121"/>
          <w:sz w:val="24"/>
          <w:szCs w:val="24"/>
        </w:rPr>
      </w:pPr>
      <w:r>
        <w:rPr>
          <w:rFonts w:eastAsia="Times New Roman"/>
          <w:b/>
          <w:bCs/>
          <w:color w:val="000000"/>
        </w:rPr>
        <w:t>No:</w:t>
      </w:r>
      <w:r>
        <w:rPr>
          <w:rFonts w:eastAsia="Times New Roman"/>
          <w:color w:val="000000"/>
        </w:rPr>
        <w:t xml:space="preserve"> Pasts &lt;</w:t>
      </w:r>
      <w:hyperlink w:history="1" r:id="rId4">
        <w:r>
          <w:rPr>
            <w:rStyle w:val="Hyperlink"/>
            <w:rFonts w:eastAsia="Times New Roman"/>
          </w:rPr>
          <w:t>Pasts@em.gov.lv</w:t>
        </w:r>
      </w:hyperlink>
      <w:r>
        <w:rPr>
          <w:rFonts w:eastAsia="Times New Roman"/>
          <w:color w:val="000000"/>
        </w:rPr>
        <w:t>&gt;</w:t>
      </w:r>
      <w:r>
        <w:rPr>
          <w:rFonts w:eastAsia="Times New Roman"/>
          <w:color w:val="000000"/>
        </w:rPr>
        <w:br/>
      </w:r>
      <w:r>
        <w:rPr>
          <w:rFonts w:eastAsia="Times New Roman"/>
          <w:b/>
          <w:bCs/>
          <w:color w:val="000000"/>
        </w:rPr>
        <w:t>Nosūtīts:</w:t>
      </w:r>
      <w:r>
        <w:rPr>
          <w:rFonts w:eastAsia="Times New Roman"/>
          <w:color w:val="000000"/>
        </w:rPr>
        <w:t xml:space="preserve"> otrdiena, 2021. gada 12. janvāris 14:00</w:t>
      </w:r>
      <w:r>
        <w:rPr>
          <w:rFonts w:eastAsia="Times New Roman"/>
          <w:color w:val="000000"/>
        </w:rPr>
        <w:br/>
      </w:r>
      <w:r>
        <w:rPr>
          <w:rFonts w:eastAsia="Times New Roman"/>
          <w:b/>
          <w:bCs/>
          <w:color w:val="000000"/>
        </w:rPr>
        <w:t>Kam:</w:t>
      </w:r>
      <w:r>
        <w:rPr>
          <w:rFonts w:eastAsia="Times New Roman"/>
          <w:color w:val="000000"/>
        </w:rPr>
        <w:t xml:space="preserve"> Satiksmes ministrija; Elita </w:t>
      </w:r>
      <w:proofErr w:type="spellStart"/>
      <w:r>
        <w:rPr>
          <w:rFonts w:eastAsia="Times New Roman"/>
          <w:color w:val="000000"/>
        </w:rPr>
        <w:t>Birjukovska</w:t>
      </w:r>
      <w:proofErr w:type="spellEnd"/>
      <w:r>
        <w:rPr>
          <w:rFonts w:eastAsia="Times New Roman"/>
          <w:color w:val="000000"/>
        </w:rPr>
        <w:br/>
      </w:r>
      <w:r>
        <w:rPr>
          <w:rFonts w:eastAsia="Times New Roman"/>
          <w:b/>
          <w:bCs/>
          <w:color w:val="000000"/>
        </w:rPr>
        <w:t>Kopija:</w:t>
      </w:r>
      <w:r>
        <w:rPr>
          <w:rFonts w:eastAsia="Times New Roman"/>
          <w:color w:val="000000"/>
        </w:rPr>
        <w:t xml:space="preserve"> PTAC (</w:t>
      </w:r>
      <w:hyperlink w:history="1" r:id="rId5">
        <w:r>
          <w:rPr>
            <w:rStyle w:val="Hyperlink"/>
            <w:rFonts w:eastAsia="Times New Roman"/>
          </w:rPr>
          <w:t>ptac@ptac.gov.lv</w:t>
        </w:r>
      </w:hyperlink>
      <w:r>
        <w:rPr>
          <w:rFonts w:eastAsia="Times New Roman"/>
          <w:color w:val="000000"/>
        </w:rPr>
        <w:t>); PTAC (</w:t>
      </w:r>
      <w:hyperlink w:history="1" r:id="rId6">
        <w:r>
          <w:rPr>
            <w:rStyle w:val="Hyperlink"/>
            <w:rFonts w:eastAsia="Times New Roman"/>
          </w:rPr>
          <w:t>ptac@ptac.gov.lv</w:t>
        </w:r>
      </w:hyperlink>
      <w:r>
        <w:rPr>
          <w:rFonts w:eastAsia="Times New Roman"/>
          <w:color w:val="000000"/>
        </w:rPr>
        <w:t xml:space="preserve">); Dainis </w:t>
      </w:r>
      <w:proofErr w:type="spellStart"/>
      <w:r>
        <w:rPr>
          <w:rFonts w:eastAsia="Times New Roman"/>
          <w:color w:val="000000"/>
        </w:rPr>
        <w:t>Platacs</w:t>
      </w:r>
      <w:proofErr w:type="spellEnd"/>
      <w:r>
        <w:rPr>
          <w:rFonts w:eastAsia="Times New Roman"/>
          <w:color w:val="000000"/>
        </w:rPr>
        <w:br/>
      </w:r>
      <w:r>
        <w:rPr>
          <w:rFonts w:eastAsia="Times New Roman"/>
          <w:b/>
          <w:bCs/>
          <w:color w:val="000000"/>
        </w:rPr>
        <w:t>Tēma:</w:t>
      </w:r>
      <w:r>
        <w:rPr>
          <w:rFonts w:eastAsia="Times New Roman"/>
          <w:color w:val="000000"/>
        </w:rPr>
        <w:t xml:space="preserve"> Par likumprojekta “Elektronisko sakaru likums” (VSS-765) atkārtoto saskaņošanu</w:t>
      </w:r>
      <w:r>
        <w:rPr>
          <w:rFonts w:eastAsia="Times New Roman"/>
          <w:color w:val="212121"/>
          <w:sz w:val="24"/>
          <w:szCs w:val="24"/>
        </w:rPr>
        <w:t xml:space="preserve"> </w:t>
      </w:r>
    </w:p>
    <w:p w:rsidR="004F00D8" w:rsidP="004F00D8" w:rsidRDefault="004F00D8">
      <w:pPr>
        <w:spacing w:after="0" w:line="240" w:lineRule="auto"/>
        <w:rPr>
          <w:rFonts w:eastAsia="Times New Roman"/>
          <w:color w:val="212121"/>
          <w:sz w:val="24"/>
          <w:szCs w:val="24"/>
        </w:rPr>
      </w:pPr>
      <w:r>
        <w:rPr>
          <w:rFonts w:eastAsia="Times New Roman"/>
          <w:color w:val="212121"/>
          <w:sz w:val="24"/>
          <w:szCs w:val="24"/>
        </w:rPr>
        <w:t> </w:t>
      </w:r>
    </w:p>
    <w:p w:rsidR="004F00D8" w:rsidP="004F00D8" w:rsidRDefault="004F00D8">
      <w:pPr>
        <w:spacing w:after="0" w:line="240" w:lineRule="auto"/>
        <w:rPr>
          <w:color w:val="212121"/>
        </w:rPr>
      </w:pPr>
      <w:r>
        <w:rPr>
          <w:rFonts w:ascii="Times New Roman" w:hAnsi="Times New Roman" w:cs="Times New Roman"/>
          <w:b/>
          <w:bCs/>
          <w:color w:val="212121"/>
          <w:sz w:val="26"/>
          <w:szCs w:val="26"/>
        </w:rPr>
        <w:t>12.01.2021. Nr. 3.1-20/2021/103</w:t>
      </w:r>
    </w:p>
    <w:p w:rsidR="004F00D8" w:rsidP="004F00D8" w:rsidRDefault="004F00D8">
      <w:pPr>
        <w:spacing w:after="0" w:line="240" w:lineRule="auto"/>
        <w:jc w:val="right"/>
        <w:rPr>
          <w:color w:val="212121"/>
        </w:rPr>
      </w:pPr>
      <w:r>
        <w:rPr>
          <w:rFonts w:ascii="Times New Roman" w:hAnsi="Times New Roman" w:cs="Times New Roman"/>
          <w:b/>
          <w:bCs/>
          <w:color w:val="212121"/>
          <w:sz w:val="26"/>
          <w:szCs w:val="26"/>
        </w:rPr>
        <w:t>Satiksmes ministrijai</w:t>
      </w:r>
    </w:p>
    <w:p w:rsidR="004F00D8" w:rsidP="004F00D8" w:rsidRDefault="004F00D8">
      <w:pPr>
        <w:spacing w:after="0" w:line="240" w:lineRule="auto"/>
        <w:jc w:val="right"/>
        <w:rPr>
          <w:color w:val="212121"/>
        </w:rPr>
      </w:pPr>
      <w:r>
        <w:rPr>
          <w:rFonts w:ascii="Times New Roman" w:hAnsi="Times New Roman" w:cs="Times New Roman"/>
          <w:b/>
          <w:bCs/>
          <w:color w:val="212121"/>
          <w:sz w:val="26"/>
          <w:szCs w:val="26"/>
        </w:rPr>
        <w:t> </w:t>
      </w:r>
    </w:p>
    <w:p w:rsidR="004F00D8" w:rsidP="004F00D8" w:rsidRDefault="004F00D8">
      <w:pPr>
        <w:spacing w:after="0" w:line="240" w:lineRule="auto"/>
        <w:jc w:val="right"/>
        <w:rPr>
          <w:color w:val="212121"/>
        </w:rPr>
      </w:pPr>
      <w:r>
        <w:rPr>
          <w:rFonts w:ascii="Times New Roman" w:hAnsi="Times New Roman" w:cs="Times New Roman"/>
          <w:i/>
          <w:iCs/>
          <w:color w:val="212121"/>
          <w:sz w:val="26"/>
          <w:szCs w:val="26"/>
        </w:rPr>
        <w:t>Informācijai:</w:t>
      </w:r>
    </w:p>
    <w:p w:rsidR="004F00D8" w:rsidP="004F00D8" w:rsidRDefault="004F00D8">
      <w:pPr>
        <w:spacing w:after="0" w:line="240" w:lineRule="auto"/>
        <w:jc w:val="right"/>
        <w:rPr>
          <w:color w:val="212121"/>
        </w:rPr>
      </w:pPr>
      <w:proofErr w:type="spellStart"/>
      <w:r>
        <w:rPr>
          <w:rFonts w:ascii="Times New Roman" w:hAnsi="Times New Roman" w:cs="Times New Roman"/>
          <w:b/>
          <w:bCs/>
          <w:color w:val="212121"/>
          <w:sz w:val="26"/>
          <w:szCs w:val="26"/>
        </w:rPr>
        <w:t>Patērētaju</w:t>
      </w:r>
      <w:proofErr w:type="spellEnd"/>
      <w:r>
        <w:rPr>
          <w:rFonts w:ascii="Times New Roman" w:hAnsi="Times New Roman" w:cs="Times New Roman"/>
          <w:b/>
          <w:bCs/>
          <w:color w:val="212121"/>
          <w:sz w:val="26"/>
          <w:szCs w:val="26"/>
        </w:rPr>
        <w:t xml:space="preserve"> tiesību aizsardzības centram</w:t>
      </w:r>
    </w:p>
    <w:p w:rsidR="004F00D8" w:rsidP="004F00D8" w:rsidRDefault="004F00D8">
      <w:pPr>
        <w:spacing w:after="0" w:line="240" w:lineRule="auto"/>
        <w:rPr>
          <w:color w:val="212121"/>
        </w:rPr>
      </w:pPr>
      <w:r>
        <w:rPr>
          <w:rFonts w:ascii="Times New Roman" w:hAnsi="Times New Roman" w:cs="Times New Roman"/>
          <w:color w:val="212121"/>
          <w:sz w:val="26"/>
          <w:szCs w:val="26"/>
        </w:rPr>
        <w:t> </w:t>
      </w:r>
    </w:p>
    <w:p w:rsidR="004F00D8" w:rsidP="004F00D8" w:rsidRDefault="004F00D8">
      <w:pPr>
        <w:spacing w:after="0" w:line="240" w:lineRule="auto"/>
        <w:rPr>
          <w:color w:val="212121"/>
        </w:rPr>
      </w:pPr>
      <w:r>
        <w:rPr>
          <w:rFonts w:ascii="Times New Roman" w:hAnsi="Times New Roman" w:cs="Times New Roman"/>
          <w:i/>
          <w:iCs/>
          <w:color w:val="212121"/>
          <w:sz w:val="26"/>
          <w:szCs w:val="26"/>
        </w:rPr>
        <w:t xml:space="preserve">Par likumprojekta “Elektronisko sakaru likums” </w:t>
      </w:r>
    </w:p>
    <w:p w:rsidR="004F00D8" w:rsidP="004F00D8" w:rsidRDefault="004F00D8">
      <w:pPr>
        <w:spacing w:after="0" w:line="240" w:lineRule="auto"/>
        <w:rPr>
          <w:color w:val="212121"/>
        </w:rPr>
      </w:pPr>
      <w:r>
        <w:rPr>
          <w:rFonts w:ascii="Times New Roman" w:hAnsi="Times New Roman" w:cs="Times New Roman"/>
          <w:i/>
          <w:iCs/>
          <w:color w:val="212121"/>
          <w:sz w:val="26"/>
          <w:szCs w:val="26"/>
        </w:rPr>
        <w:t>(VSS-765) atkārtoto saskaņošanu</w:t>
      </w:r>
    </w:p>
    <w:p w:rsidR="004F00D8" w:rsidP="004F00D8" w:rsidRDefault="004F00D8">
      <w:pPr>
        <w:spacing w:after="0" w:line="240" w:lineRule="auto"/>
        <w:ind w:firstLine="851"/>
        <w:rPr>
          <w:color w:val="212121"/>
        </w:rPr>
      </w:pPr>
      <w:r>
        <w:rPr>
          <w:rFonts w:ascii="Times New Roman" w:hAnsi="Times New Roman" w:cs="Times New Roman"/>
          <w:color w:val="212121"/>
          <w:sz w:val="26"/>
          <w:szCs w:val="26"/>
        </w:rPr>
        <w:t> </w:t>
      </w:r>
    </w:p>
    <w:p w:rsidR="004F00D8" w:rsidP="004F00D8" w:rsidRDefault="004F00D8">
      <w:pPr>
        <w:spacing w:after="0" w:line="240" w:lineRule="auto"/>
        <w:ind w:firstLine="851"/>
        <w:jc w:val="both"/>
        <w:rPr>
          <w:color w:val="212121"/>
        </w:rPr>
      </w:pPr>
      <w:r>
        <w:rPr>
          <w:rFonts w:ascii="Times New Roman" w:hAnsi="Times New Roman" w:cs="Times New Roman"/>
          <w:color w:val="212121"/>
          <w:sz w:val="26"/>
          <w:szCs w:val="26"/>
        </w:rPr>
        <w:t xml:space="preserve">Ekonomikas ministrija savas kompetences ietvaros atkārtoti ir izvērtējusi Satiksmes ministrijas precizēto likumprojektu “Elektronisko sakaru likums” (VSS-765) (turpmāk – Likumprojekts), tā sākotnējās ietekmes novērtējuma ziņojumu (anotāciju) un pielikumus, un atbalsta tā tālāko virzību, izsakot šādus </w:t>
      </w:r>
      <w:r>
        <w:rPr>
          <w:rFonts w:ascii="Times New Roman" w:hAnsi="Times New Roman" w:cs="Times New Roman"/>
          <w:b/>
          <w:bCs/>
          <w:color w:val="212121"/>
          <w:sz w:val="26"/>
          <w:szCs w:val="26"/>
        </w:rPr>
        <w:t>iebildumus</w:t>
      </w:r>
      <w:r>
        <w:rPr>
          <w:rFonts w:ascii="Times New Roman" w:hAnsi="Times New Roman" w:cs="Times New Roman"/>
          <w:color w:val="212121"/>
          <w:sz w:val="26"/>
          <w:szCs w:val="26"/>
        </w:rPr>
        <w:t>:</w:t>
      </w:r>
    </w:p>
    <w:p w:rsidR="004F00D8" w:rsidP="004F00D8" w:rsidRDefault="004F00D8">
      <w:pPr>
        <w:spacing w:after="0" w:line="240" w:lineRule="auto"/>
        <w:ind w:firstLine="851"/>
        <w:jc w:val="both"/>
        <w:rPr>
          <w:color w:val="212121"/>
        </w:rPr>
      </w:pPr>
      <w:r>
        <w:rPr>
          <w:rFonts w:ascii="Times New Roman" w:hAnsi="Times New Roman" w:cs="Times New Roman"/>
          <w:color w:val="212121"/>
          <w:sz w:val="26"/>
          <w:szCs w:val="26"/>
        </w:rPr>
        <w:t> </w:t>
      </w:r>
    </w:p>
    <w:p w:rsidR="004F00D8" w:rsidP="004F00D8" w:rsidRDefault="004F00D8">
      <w:pPr>
        <w:spacing w:after="0" w:line="240" w:lineRule="auto"/>
        <w:ind w:firstLine="851"/>
        <w:jc w:val="both"/>
        <w:rPr>
          <w:color w:val="212121"/>
        </w:rPr>
      </w:pPr>
      <w:r>
        <w:rPr>
          <w:rFonts w:ascii="Times New Roman" w:hAnsi="Times New Roman" w:cs="Times New Roman"/>
          <w:b/>
          <w:bCs/>
          <w:color w:val="212121"/>
          <w:sz w:val="26"/>
          <w:szCs w:val="26"/>
        </w:rPr>
        <w:t>1.</w:t>
      </w:r>
      <w:r>
        <w:rPr>
          <w:rFonts w:ascii="Times New Roman" w:hAnsi="Times New Roman" w:cs="Times New Roman"/>
          <w:color w:val="212121"/>
          <w:sz w:val="26"/>
          <w:szCs w:val="26"/>
        </w:rPr>
        <w:t xml:space="preserve"> Vēršam uzmanību, ka Saeimā izskatīšanai ir iesniegts likumprojekts “Grozījumi Patērētāju tiesību aizsardzības likumā” (</w:t>
      </w:r>
      <w:proofErr w:type="spellStart"/>
      <w:r>
        <w:rPr>
          <w:rFonts w:ascii="Times New Roman" w:hAnsi="Times New Roman" w:cs="Times New Roman"/>
          <w:color w:val="212121"/>
          <w:sz w:val="26"/>
          <w:szCs w:val="26"/>
        </w:rPr>
        <w:t>Nr</w:t>
      </w:r>
      <w:proofErr w:type="spellEnd"/>
      <w:r>
        <w:rPr>
          <w:rFonts w:ascii="Times New Roman" w:hAnsi="Times New Roman" w:cs="Times New Roman"/>
          <w:color w:val="212121"/>
          <w:sz w:val="26"/>
          <w:szCs w:val="26"/>
        </w:rPr>
        <w:t xml:space="preserve">: 744/Lp13) (turpmāk – PTAL grozījumi), kas cita starpā paredz, ka Patērētāju tiesību aizsardzības centrs (turpmāk – PTAC) ir tiesīgs pamatojoties uz tiesneša lēmumu, pieprasīt un saņemt no elektronisko sakaru pakalpojumu sniedzējiem un citām personām informāciju, kas nepieciešama, lai izsekotu datu plūsmas un noskaidrotu datu plūsmās iesaistīto personu identitāti, </w:t>
      </w:r>
      <w:r>
        <w:rPr>
          <w:rFonts w:ascii="Times New Roman" w:hAnsi="Times New Roman" w:cs="Times New Roman"/>
          <w:color w:val="212121"/>
          <w:sz w:val="26"/>
          <w:szCs w:val="26"/>
          <w:u w:val="single"/>
        </w:rPr>
        <w:t>tostarp saglabājamos datus Elektronisko sakaru likumā noteiktajā kārtībā</w:t>
      </w:r>
      <w:r>
        <w:rPr>
          <w:rFonts w:ascii="Times New Roman" w:hAnsi="Times New Roman" w:cs="Times New Roman"/>
          <w:color w:val="212121"/>
          <w:sz w:val="26"/>
          <w:szCs w:val="26"/>
        </w:rPr>
        <w:t xml:space="preserve">, ja tāda informācija ir elektronisko sakaru komersanta rīcībā. Līdz ar to, PTAC būs tiesīgs pieprasīt Likumprojekta 100.panta ceturtajā daļā minētos noslodzes datus bez tiesneša atļaujas, savukārt saglabājamos datus (tostarp, visus pārējos Likumprojekta 95. un 96.pantā uzskaitītos noslodzes datus) PTAC būs tiesīgs pieprasīt ar tiesneša atļauju. Attiecīgi lūdzam papildināt 94. panta pirmo daļu, paredzot, ka saglabājamie dati tiek nodoti PTAC, izvērtējot ražotāja, pārdevēja vai pakalpojuma sniedzēja darbības vai rīcības atbilstību patērētāju kolektīvajām interesēm. </w:t>
      </w:r>
    </w:p>
    <w:p w:rsidR="004F00D8" w:rsidP="004F00D8" w:rsidRDefault="004F00D8">
      <w:pPr>
        <w:spacing w:after="0" w:line="240" w:lineRule="auto"/>
        <w:ind w:firstLine="851"/>
        <w:jc w:val="both"/>
        <w:rPr>
          <w:color w:val="212121"/>
        </w:rPr>
      </w:pPr>
      <w:r>
        <w:rPr>
          <w:rFonts w:ascii="Times New Roman" w:hAnsi="Times New Roman" w:cs="Times New Roman"/>
          <w:color w:val="212121"/>
          <w:sz w:val="26"/>
          <w:szCs w:val="26"/>
        </w:rPr>
        <w:t> </w:t>
      </w:r>
    </w:p>
    <w:p w:rsidR="004F00D8" w:rsidP="004F00D8" w:rsidRDefault="004F00D8">
      <w:pPr>
        <w:spacing w:after="0" w:line="240" w:lineRule="auto"/>
        <w:ind w:firstLine="851"/>
        <w:jc w:val="both"/>
        <w:rPr>
          <w:color w:val="212121"/>
        </w:rPr>
      </w:pPr>
      <w:r>
        <w:rPr>
          <w:rFonts w:ascii="Times New Roman" w:hAnsi="Times New Roman" w:cs="Times New Roman"/>
          <w:b/>
          <w:bCs/>
          <w:color w:val="212121"/>
          <w:sz w:val="26"/>
          <w:szCs w:val="26"/>
        </w:rPr>
        <w:t>2.</w:t>
      </w:r>
      <w:r>
        <w:rPr>
          <w:rFonts w:ascii="Times New Roman" w:hAnsi="Times New Roman" w:cs="Times New Roman"/>
          <w:color w:val="212121"/>
          <w:sz w:val="26"/>
          <w:szCs w:val="26"/>
        </w:rPr>
        <w:t xml:space="preserve"> Būvniecības likuma 1. panta 12.punktā ir noteikts, ka būvniecība ir visu veidu būvju projektēšana un būvdarbi. Atbilstoši Būvniecības likuma 1.panta 5.punktam ierīkošana ir būvdarbi, kurus veic inženiertīkla montāžai, ievietošanai vai novietošanai pamatnē (zemē vai gultnē) vai būvē. Līdz ar to jēdziens “ierīkošana” tiek aptverts ar jēdzienu “būvdarbi”, bet jēdziens “būvdarbi” ir jēdziena “būvniecība” sastāvdaļu. Vēršam arī uzmanību uz to, ka būvniecības regulējumā notiek attiekšanās no vārdu “montāža” un “demontāža” lietošanas, lai norādītu uz inženiertīkla ierīkošanu vai nojaukšanu. Tāpat būvniecības regulējumā, lai norādītu uz jaunu būvju būvniecību tiek lietota vārdu kopa “jauna būvniecība”, nevis vārdi būvju būvniecība. Līdz ar to, ir </w:t>
      </w:r>
      <w:r>
        <w:rPr>
          <w:rFonts w:ascii="Times New Roman" w:hAnsi="Times New Roman" w:cs="Times New Roman"/>
          <w:color w:val="212121"/>
          <w:sz w:val="26"/>
          <w:szCs w:val="26"/>
        </w:rPr>
        <w:lastRenderedPageBreak/>
        <w:t>nepieciešams precizēt Likumprojektā lietoto terminoloģiju, to saskaņojot ar būvniecības regulējumā lietoto terminoloģiju (sk., piemēram, Likumprojekta 26.panta otro daļu). Papildus Ekonomikas ministrija iebilst pret Būvniecības likumā ietverto būvniecības jēdzienu pārdefinēšanu, ciktāl tas attiecas uz elektronisko sakaru būvju būvniecību, Likumprojektā (sk., Likumprojekta 1.panta 15., 16. un 18.punkts). Tas radīs nevajadzīgus pārpratums, būvniecības procesa ietvaros piemērojot būvniecības regulējumu. Pie tam, anotācijā nav sniegts skaidrojums par šādu jēdzienu izmaiņu pievienoto vērtību.</w:t>
      </w:r>
    </w:p>
    <w:p w:rsidR="004F00D8" w:rsidP="004F00D8" w:rsidRDefault="004F00D8">
      <w:pPr>
        <w:spacing w:after="0" w:line="240" w:lineRule="auto"/>
        <w:ind w:firstLine="851"/>
        <w:jc w:val="both"/>
        <w:rPr>
          <w:color w:val="212121"/>
        </w:rPr>
      </w:pPr>
      <w:r>
        <w:rPr>
          <w:rFonts w:ascii="Times New Roman" w:hAnsi="Times New Roman" w:cs="Times New Roman"/>
          <w:color w:val="212121"/>
          <w:sz w:val="26"/>
          <w:szCs w:val="26"/>
        </w:rPr>
        <w:t> </w:t>
      </w:r>
    </w:p>
    <w:p w:rsidR="004F00D8" w:rsidP="004F00D8" w:rsidRDefault="004F00D8">
      <w:pPr>
        <w:spacing w:after="0" w:line="240" w:lineRule="auto"/>
        <w:jc w:val="both"/>
        <w:rPr>
          <w:color w:val="212121"/>
        </w:rPr>
      </w:pPr>
      <w:r>
        <w:rPr>
          <w:rFonts w:ascii="Times New Roman" w:hAnsi="Times New Roman" w:cs="Times New Roman"/>
          <w:color w:val="212121"/>
          <w:sz w:val="26"/>
          <w:szCs w:val="26"/>
        </w:rPr>
        <w:t xml:space="preserve">                 </w:t>
      </w:r>
      <w:r>
        <w:rPr>
          <w:rFonts w:ascii="Times New Roman" w:hAnsi="Times New Roman" w:cs="Times New Roman"/>
          <w:b/>
          <w:bCs/>
          <w:color w:val="212121"/>
          <w:sz w:val="26"/>
          <w:szCs w:val="26"/>
        </w:rPr>
        <w:t>3.</w:t>
      </w:r>
      <w:r>
        <w:rPr>
          <w:rFonts w:ascii="Times New Roman" w:hAnsi="Times New Roman" w:cs="Times New Roman"/>
          <w:color w:val="212121"/>
          <w:sz w:val="26"/>
          <w:szCs w:val="26"/>
        </w:rPr>
        <w:t xml:space="preserve"> Būvniecības likumā 1.panta 3.punktā ir noteikts, ka būve ir ķermeniska lieta, kas tapusi cilvēka darbības rezultātā un ir saistīta ar pamatni (zemi vai gultni). Par būvi nevar uzskatīt būves elementu. Ēka pati par sevi ir būve un to nevar uzskatīt par citas būves elementu. Līdz ar to ir nepieciešams precizēt Likumprojekta 1.panta 21.punktu. Tāpat jānorāda, ka vārds “resursi” pēc sava ierastās nozīmes neaptver jēdzienu “būve”. Līdz ar to ir nepieciešamas atbilstoši precizēt Likumprojekta 1.panta 19.punktu.</w:t>
      </w:r>
    </w:p>
    <w:p w:rsidR="004F00D8" w:rsidP="004F00D8" w:rsidRDefault="004F00D8">
      <w:pPr>
        <w:spacing w:after="0" w:line="240" w:lineRule="auto"/>
        <w:jc w:val="both"/>
        <w:rPr>
          <w:color w:val="212121"/>
        </w:rPr>
      </w:pPr>
      <w:r>
        <w:rPr>
          <w:rFonts w:ascii="Times New Roman" w:hAnsi="Times New Roman" w:cs="Times New Roman"/>
          <w:color w:val="212121"/>
          <w:sz w:val="26"/>
          <w:szCs w:val="26"/>
        </w:rPr>
        <w:t> </w:t>
      </w:r>
    </w:p>
    <w:p w:rsidR="004F00D8" w:rsidP="004F00D8" w:rsidRDefault="004F00D8">
      <w:pPr>
        <w:spacing w:after="0" w:line="240" w:lineRule="auto"/>
        <w:jc w:val="both"/>
        <w:rPr>
          <w:color w:val="212121"/>
        </w:rPr>
      </w:pPr>
      <w:r>
        <w:rPr>
          <w:rFonts w:ascii="Times New Roman" w:hAnsi="Times New Roman" w:cs="Times New Roman"/>
          <w:color w:val="212121"/>
          <w:sz w:val="26"/>
          <w:szCs w:val="26"/>
        </w:rPr>
        <w:t xml:space="preserve">                 </w:t>
      </w:r>
      <w:r>
        <w:rPr>
          <w:rFonts w:ascii="Times New Roman" w:hAnsi="Times New Roman" w:cs="Times New Roman"/>
          <w:b/>
          <w:bCs/>
          <w:color w:val="212121"/>
          <w:sz w:val="26"/>
          <w:szCs w:val="26"/>
        </w:rPr>
        <w:t>4.</w:t>
      </w:r>
      <w:r>
        <w:rPr>
          <w:rFonts w:ascii="Times New Roman" w:hAnsi="Times New Roman" w:cs="Times New Roman"/>
          <w:color w:val="212121"/>
          <w:sz w:val="26"/>
          <w:szCs w:val="26"/>
        </w:rPr>
        <w:t xml:space="preserve"> Likumprojekta 26.panta pirmajā daļā ietvertais deleģējums dublē Būvniecības likuma 5.panta 2.punktā ietverto deleģējumu. Ievērojot iepriekš minēto, lūdzam Likumprojekta 26.panta pirmajā daļā ietverto deleģējumu izslēgt.</w:t>
      </w:r>
    </w:p>
    <w:p w:rsidR="004F00D8" w:rsidP="004F00D8" w:rsidRDefault="004F00D8">
      <w:pPr>
        <w:spacing w:after="0" w:line="240" w:lineRule="auto"/>
        <w:jc w:val="both"/>
        <w:rPr>
          <w:color w:val="212121"/>
        </w:rPr>
      </w:pPr>
      <w:r>
        <w:rPr>
          <w:rFonts w:ascii="Times New Roman" w:hAnsi="Times New Roman" w:cs="Times New Roman"/>
          <w:color w:val="212121"/>
          <w:sz w:val="26"/>
          <w:szCs w:val="26"/>
        </w:rPr>
        <w:t> </w:t>
      </w:r>
    </w:p>
    <w:p w:rsidR="004F00D8" w:rsidP="004F00D8" w:rsidRDefault="004F00D8">
      <w:pPr>
        <w:spacing w:after="0" w:line="240" w:lineRule="auto"/>
        <w:jc w:val="both"/>
        <w:rPr>
          <w:color w:val="212121"/>
        </w:rPr>
      </w:pPr>
      <w:r>
        <w:rPr>
          <w:rFonts w:ascii="Times New Roman" w:hAnsi="Times New Roman" w:cs="Times New Roman"/>
          <w:color w:val="212121"/>
          <w:sz w:val="26"/>
          <w:szCs w:val="26"/>
        </w:rPr>
        <w:t xml:space="preserve">                 </w:t>
      </w:r>
      <w:r>
        <w:rPr>
          <w:rFonts w:ascii="Times New Roman" w:hAnsi="Times New Roman" w:cs="Times New Roman"/>
          <w:b/>
          <w:bCs/>
          <w:color w:val="212121"/>
          <w:sz w:val="26"/>
          <w:szCs w:val="26"/>
        </w:rPr>
        <w:t>5.</w:t>
      </w:r>
      <w:r>
        <w:rPr>
          <w:rFonts w:ascii="Times New Roman" w:hAnsi="Times New Roman" w:cs="Times New Roman"/>
          <w:color w:val="212121"/>
          <w:sz w:val="26"/>
          <w:szCs w:val="26"/>
        </w:rPr>
        <w:t xml:space="preserve"> Lūdzam pārvērtēt Likumprojekta 54.pantā ietvertā deleģējuma nepieciešamību. Tas saistīts ar to, ka šobrīd valsts akciju sabiedrībā “Elektroniskie sakari” saskaņo radioiekārtas un antenas ierīkošanas projektu, mobilo sakaru bāzes stacijas ierīkošanas projektus, apraides raidītāja ierīkošanas projektus un radioamatieru radiostacijas ierīkošanas projektus (sk., piemēram, Ministru kabineta 19.08.2014. noteikumu Nr.501 “Elektronisko sakaru tīklu ierīkošanas, būvniecības un uzraudzības kārtība” 18.punktu). Šo projektu saskaņošana netiek veikt Būvniecības informācijas sistēmā, kā arī attiecīgās sakaru stacijas (iekārtas) netiek uzskatītas par būvi. Līdz ar to, būtu nepieciešams, precizējot terminoloģiju, paredzēt, ka tiek izdoti atsevišķi Ministru kabinetā noteikumi par attiecīgo radiostaciju (iekārtu) izvietošanu – nodalot šo staciju izvietošanu no būvniecības procesa. Vienlaikus, ņemot vērā, ka attiecīgais regulējums iepriekš minētajos būvnoteikumos nav apjomīgs, to var ietvert arī pašā Likumprojektā.</w:t>
      </w:r>
    </w:p>
    <w:p w:rsidR="004F00D8" w:rsidP="004F00D8" w:rsidRDefault="004F00D8">
      <w:pPr>
        <w:spacing w:after="0" w:line="240" w:lineRule="auto"/>
        <w:jc w:val="both"/>
        <w:rPr>
          <w:color w:val="212121"/>
        </w:rPr>
      </w:pPr>
      <w:r>
        <w:rPr>
          <w:rFonts w:ascii="Times New Roman" w:hAnsi="Times New Roman" w:cs="Times New Roman"/>
          <w:color w:val="212121"/>
          <w:sz w:val="26"/>
          <w:szCs w:val="26"/>
        </w:rPr>
        <w:t> </w:t>
      </w:r>
    </w:p>
    <w:p w:rsidR="004F00D8" w:rsidP="004F00D8" w:rsidRDefault="004F00D8">
      <w:pPr>
        <w:spacing w:after="0" w:line="240" w:lineRule="auto"/>
        <w:jc w:val="both"/>
        <w:rPr>
          <w:color w:val="212121"/>
        </w:rPr>
      </w:pPr>
      <w:r>
        <w:rPr>
          <w:rFonts w:ascii="Times New Roman" w:hAnsi="Times New Roman" w:cs="Times New Roman"/>
          <w:color w:val="212121"/>
          <w:sz w:val="26"/>
          <w:szCs w:val="26"/>
        </w:rPr>
        <w:t xml:space="preserve">                 </w:t>
      </w:r>
      <w:r>
        <w:rPr>
          <w:rFonts w:ascii="Times New Roman" w:hAnsi="Times New Roman" w:cs="Times New Roman"/>
          <w:b/>
          <w:bCs/>
          <w:color w:val="212121"/>
          <w:sz w:val="26"/>
          <w:szCs w:val="26"/>
        </w:rPr>
        <w:t>6.</w:t>
      </w:r>
      <w:r>
        <w:rPr>
          <w:rFonts w:ascii="Times New Roman" w:hAnsi="Times New Roman" w:cs="Times New Roman"/>
          <w:color w:val="212121"/>
          <w:sz w:val="26"/>
          <w:szCs w:val="26"/>
        </w:rPr>
        <w:t xml:space="preserve"> Izziņas 77.punktā par Likumprojekta 68.pantu ir norādīts, ka saņemti Sabiedrisko pakalpojumu regulēšanas komisijas, Latvijas Informācijas un Komunikācijas Tehnoloģijas Asociācijas un Ekonomikas ministrijas iebildumi. Sadaļā, kurā jānorāda atbildīgās ministrijas norāde par to, ka iebildums ir ņemts vērā, vai informācija par saskaņošanā panākto alternatīvo risinājumu, par Ekonomikas ministrijas iebildumu nav norādīta nekāda veida informācija. Ņemot vērā minēto, ka no sagatavotās izziņas nav saprotams izteiktā iebilduma rezultāts, kā arī nav sniegta nekāda paskaidrojoša informācija, Ekonomikas ministrija uztur iepriekš minēto iebildumu un lūdz skaidrot, kādā </w:t>
      </w:r>
      <w:r>
        <w:rPr>
          <w:rFonts w:ascii="Times New Roman" w:hAnsi="Times New Roman" w:cs="Times New Roman"/>
          <w:color w:val="212121"/>
          <w:sz w:val="26"/>
          <w:szCs w:val="26"/>
        </w:rPr>
        <w:lastRenderedPageBreak/>
        <w:t>veidā turpmāk tiks nodrošināta universālā pakalpojuma saistību tīro izmaksu kompensēšana, neatkarīgi no universālā pakalpojuma sniedzēja. Kā arī, kādi noteikumi tiks piemēroti 2021.gadā par 2020.gadā nodrošinātā universālā pakalpojuma saistību tīrajām izmaksām.  </w:t>
      </w:r>
    </w:p>
    <w:p w:rsidR="004F00D8" w:rsidP="004F00D8" w:rsidRDefault="004F00D8">
      <w:pPr>
        <w:rPr>
          <w:color w:val="212121"/>
        </w:rPr>
      </w:pPr>
      <w:r>
        <w:rPr>
          <w:color w:val="212121"/>
        </w:rPr>
        <w:t> </w:t>
      </w:r>
    </w:p>
    <w:p w:rsidR="004F00D8" w:rsidP="004F00D8" w:rsidRDefault="004F00D8">
      <w:pPr>
        <w:rPr>
          <w:color w:val="212121"/>
        </w:rPr>
      </w:pPr>
      <w:r>
        <w:rPr>
          <w:rFonts w:ascii="Times New Roman" w:hAnsi="Times New Roman" w:cs="Times New Roman"/>
          <w:color w:val="212121"/>
          <w:sz w:val="24"/>
          <w:szCs w:val="24"/>
        </w:rPr>
        <w:t>Ar cieņu,</w:t>
      </w:r>
    </w:p>
    <w:p w:rsidR="004F00D8" w:rsidP="004F00D8" w:rsidRDefault="004F00D8">
      <w:pPr>
        <w:spacing w:after="240"/>
        <w:rPr>
          <w:color w:val="212121"/>
        </w:rPr>
      </w:pPr>
      <w:r>
        <w:rPr>
          <w:rFonts w:ascii="Times New Roman" w:hAnsi="Times New Roman" w:cs="Times New Roman"/>
          <w:b/>
          <w:bCs/>
          <w:color w:val="008080"/>
          <w:sz w:val="24"/>
          <w:szCs w:val="24"/>
        </w:rPr>
        <w:t>ARNIS LATIŠENKO</w:t>
      </w:r>
      <w:r>
        <w:rPr>
          <w:rFonts w:ascii="Times New Roman" w:hAnsi="Times New Roman" w:cs="Times New Roman"/>
          <w:color w:val="212121"/>
          <w:sz w:val="24"/>
          <w:szCs w:val="24"/>
        </w:rPr>
        <w:t xml:space="preserve"> </w:t>
      </w:r>
      <w:r>
        <w:rPr>
          <w:rFonts w:ascii="Times New Roman" w:hAnsi="Times New Roman" w:cs="Times New Roman"/>
          <w:color w:val="212121"/>
          <w:sz w:val="24"/>
          <w:szCs w:val="24"/>
        </w:rPr>
        <w:br/>
        <w:t xml:space="preserve">Iekšējā tirgus departamenta </w:t>
      </w:r>
      <w:r>
        <w:rPr>
          <w:rFonts w:ascii="Times New Roman" w:hAnsi="Times New Roman" w:cs="Times New Roman"/>
          <w:color w:val="212121"/>
          <w:sz w:val="24"/>
          <w:szCs w:val="24"/>
        </w:rPr>
        <w:br/>
        <w:t xml:space="preserve">Konkurences, tirdzniecības un patērētāju tiesību nodaļas </w:t>
      </w:r>
      <w:r>
        <w:rPr>
          <w:rFonts w:ascii="Times New Roman" w:hAnsi="Times New Roman" w:cs="Times New Roman"/>
          <w:color w:val="212121"/>
          <w:sz w:val="24"/>
          <w:szCs w:val="24"/>
        </w:rPr>
        <w:br/>
        <w:t xml:space="preserve">Vecākais referents </w:t>
      </w:r>
      <w:r>
        <w:rPr>
          <w:rFonts w:ascii="Times New Roman" w:hAnsi="Times New Roman" w:cs="Times New Roman"/>
          <w:color w:val="212121"/>
          <w:sz w:val="24"/>
          <w:szCs w:val="24"/>
        </w:rPr>
        <w:br/>
      </w:r>
      <w:r>
        <w:rPr>
          <w:rFonts w:ascii="Times New Roman" w:hAnsi="Times New Roman" w:cs="Times New Roman"/>
          <w:color w:val="004080"/>
          <w:sz w:val="24"/>
          <w:szCs w:val="24"/>
        </w:rPr>
        <w:t> </w:t>
      </w:r>
      <w:r>
        <w:rPr>
          <w:rFonts w:ascii="Times New Roman" w:hAnsi="Times New Roman" w:cs="Times New Roman"/>
          <w:color w:val="212121"/>
          <w:sz w:val="24"/>
          <w:szCs w:val="24"/>
        </w:rPr>
        <w:t xml:space="preserve"> </w:t>
      </w:r>
      <w:r>
        <w:rPr>
          <w:rFonts w:ascii="Times New Roman" w:hAnsi="Times New Roman" w:cs="Times New Roman"/>
          <w:color w:val="212121"/>
          <w:sz w:val="24"/>
          <w:szCs w:val="24"/>
        </w:rPr>
        <w:br/>
      </w:r>
      <w:r>
        <w:rPr>
          <w:rFonts w:ascii="Times New Roman" w:hAnsi="Times New Roman" w:cs="Times New Roman"/>
          <w:b/>
          <w:bCs/>
          <w:color w:val="008080"/>
          <w:sz w:val="24"/>
          <w:szCs w:val="24"/>
        </w:rPr>
        <w:t>EKONOMIKAS MINISTRIJA</w:t>
      </w:r>
      <w:r>
        <w:rPr>
          <w:rFonts w:ascii="Times New Roman" w:hAnsi="Times New Roman" w:cs="Times New Roman"/>
          <w:color w:val="212121"/>
          <w:sz w:val="24"/>
          <w:szCs w:val="24"/>
        </w:rPr>
        <w:t xml:space="preserve"> </w:t>
      </w:r>
      <w:r>
        <w:rPr>
          <w:rFonts w:ascii="Times New Roman" w:hAnsi="Times New Roman" w:cs="Times New Roman"/>
          <w:color w:val="212121"/>
          <w:sz w:val="24"/>
          <w:szCs w:val="24"/>
        </w:rPr>
        <w:br/>
        <w:t xml:space="preserve">Brīvības iela 55, Rīga, LV-1519, Latvija </w:t>
      </w:r>
      <w:r>
        <w:rPr>
          <w:rFonts w:ascii="Times New Roman" w:hAnsi="Times New Roman" w:cs="Times New Roman"/>
          <w:color w:val="212121"/>
          <w:sz w:val="24"/>
          <w:szCs w:val="24"/>
        </w:rPr>
        <w:br/>
        <w:t xml:space="preserve">Tālrunis: +371 67 013 230; </w:t>
      </w:r>
      <w:r>
        <w:rPr>
          <w:rFonts w:ascii="Times New Roman" w:hAnsi="Times New Roman" w:cs="Times New Roman"/>
          <w:color w:val="212121"/>
          <w:sz w:val="24"/>
          <w:szCs w:val="24"/>
        </w:rPr>
        <w:br/>
        <w:t xml:space="preserve">E-pasts: </w:t>
      </w:r>
      <w:hyperlink w:history="1" r:id="rId7">
        <w:r>
          <w:rPr>
            <w:rStyle w:val="Hyperlink"/>
            <w:rFonts w:ascii="Times New Roman" w:hAnsi="Times New Roman" w:cs="Times New Roman"/>
            <w:color w:val="0082BF"/>
            <w:sz w:val="24"/>
            <w:szCs w:val="24"/>
          </w:rPr>
          <w:t>arnis.latisenko@em.gov.lv</w:t>
        </w:r>
      </w:hyperlink>
      <w:r>
        <w:rPr>
          <w:rFonts w:ascii="Times New Roman" w:hAnsi="Times New Roman" w:cs="Times New Roman"/>
          <w:color w:val="212121"/>
          <w:sz w:val="24"/>
          <w:szCs w:val="24"/>
        </w:rPr>
        <w:t xml:space="preserve">; </w:t>
      </w:r>
      <w:hyperlink w:history="1" r:id="rId8">
        <w:r>
          <w:rPr>
            <w:rStyle w:val="Hyperlink"/>
            <w:rFonts w:ascii="Times New Roman" w:hAnsi="Times New Roman" w:cs="Times New Roman"/>
            <w:color w:val="0082BF"/>
            <w:sz w:val="24"/>
            <w:szCs w:val="24"/>
          </w:rPr>
          <w:t>pasts@em.gov.lv</w:t>
        </w:r>
      </w:hyperlink>
      <w:r>
        <w:rPr>
          <w:rFonts w:ascii="Times New Roman" w:hAnsi="Times New Roman" w:cs="Times New Roman"/>
          <w:color w:val="0082BF"/>
          <w:sz w:val="24"/>
          <w:szCs w:val="24"/>
          <w:u w:val="single"/>
          <w:lang w:val="en-GB"/>
        </w:rPr>
        <w:t xml:space="preserve"> </w:t>
      </w:r>
      <w:r>
        <w:rPr>
          <w:rFonts w:ascii="Times New Roman" w:hAnsi="Times New Roman" w:cs="Times New Roman"/>
          <w:color w:val="212121"/>
          <w:sz w:val="24"/>
          <w:szCs w:val="24"/>
        </w:rPr>
        <w:br/>
      </w:r>
      <w:proofErr w:type="spellStart"/>
      <w:r>
        <w:rPr>
          <w:rFonts w:ascii="Times New Roman" w:hAnsi="Times New Roman" w:cs="Times New Roman"/>
          <w:color w:val="212121"/>
          <w:sz w:val="24"/>
          <w:szCs w:val="24"/>
        </w:rPr>
        <w:t>Twitter</w:t>
      </w:r>
      <w:proofErr w:type="spellEnd"/>
      <w:r>
        <w:rPr>
          <w:rFonts w:ascii="Times New Roman" w:hAnsi="Times New Roman" w:cs="Times New Roman"/>
          <w:color w:val="212121"/>
          <w:sz w:val="24"/>
          <w:szCs w:val="24"/>
        </w:rPr>
        <w:t>: @</w:t>
      </w:r>
      <w:proofErr w:type="spellStart"/>
      <w:r>
        <w:rPr>
          <w:rFonts w:ascii="Times New Roman" w:hAnsi="Times New Roman" w:cs="Times New Roman"/>
          <w:color w:val="212121"/>
          <w:sz w:val="24"/>
          <w:szCs w:val="24"/>
        </w:rPr>
        <w:t>EM_gov_lv</w:t>
      </w:r>
      <w:proofErr w:type="spellEnd"/>
      <w:r>
        <w:rPr>
          <w:rFonts w:ascii="Times New Roman" w:hAnsi="Times New Roman" w:cs="Times New Roman"/>
          <w:color w:val="212121"/>
          <w:sz w:val="24"/>
          <w:szCs w:val="24"/>
        </w:rPr>
        <w:t>, @</w:t>
      </w:r>
      <w:proofErr w:type="spellStart"/>
      <w:r>
        <w:rPr>
          <w:rFonts w:ascii="Times New Roman" w:hAnsi="Times New Roman" w:cs="Times New Roman"/>
          <w:color w:val="212121"/>
          <w:sz w:val="24"/>
          <w:szCs w:val="24"/>
        </w:rPr>
        <w:t>siltinam</w:t>
      </w:r>
      <w:proofErr w:type="spellEnd"/>
      <w:r>
        <w:rPr>
          <w:rFonts w:ascii="Times New Roman" w:hAnsi="Times New Roman" w:cs="Times New Roman"/>
          <w:color w:val="212121"/>
          <w:sz w:val="24"/>
          <w:szCs w:val="24"/>
        </w:rPr>
        <w:t xml:space="preserve"> </w:t>
      </w:r>
      <w:r>
        <w:rPr>
          <w:rFonts w:ascii="Times New Roman" w:hAnsi="Times New Roman" w:cs="Times New Roman"/>
          <w:color w:val="212121"/>
          <w:sz w:val="24"/>
          <w:szCs w:val="24"/>
        </w:rPr>
        <w:br/>
      </w:r>
      <w:proofErr w:type="spellStart"/>
      <w:r>
        <w:rPr>
          <w:rFonts w:ascii="Times New Roman" w:hAnsi="Times New Roman" w:cs="Times New Roman"/>
          <w:color w:val="212121"/>
          <w:sz w:val="24"/>
          <w:szCs w:val="24"/>
        </w:rPr>
        <w:t>Youtube</w:t>
      </w:r>
      <w:proofErr w:type="spellEnd"/>
      <w:r>
        <w:rPr>
          <w:rFonts w:ascii="Times New Roman" w:hAnsi="Times New Roman" w:cs="Times New Roman"/>
          <w:color w:val="212121"/>
          <w:sz w:val="24"/>
          <w:szCs w:val="24"/>
        </w:rPr>
        <w:t xml:space="preserve">: </w:t>
      </w:r>
      <w:hyperlink w:history="1" r:id="rId9">
        <w:r>
          <w:rPr>
            <w:rStyle w:val="Hyperlink"/>
            <w:rFonts w:ascii="Times New Roman" w:hAnsi="Times New Roman" w:cs="Times New Roman"/>
            <w:color w:val="0082BF"/>
            <w:sz w:val="24"/>
            <w:szCs w:val="24"/>
          </w:rPr>
          <w:t>youtube.com/</w:t>
        </w:r>
        <w:proofErr w:type="spellStart"/>
        <w:r>
          <w:rPr>
            <w:rStyle w:val="Hyperlink"/>
            <w:rFonts w:ascii="Times New Roman" w:hAnsi="Times New Roman" w:cs="Times New Roman"/>
            <w:color w:val="0082BF"/>
            <w:sz w:val="24"/>
            <w:szCs w:val="24"/>
          </w:rPr>
          <w:t>ekonomikasministrija</w:t>
        </w:r>
        <w:proofErr w:type="spellEnd"/>
      </w:hyperlink>
      <w:r>
        <w:rPr>
          <w:rFonts w:ascii="Times New Roman" w:hAnsi="Times New Roman" w:cs="Times New Roman"/>
          <w:color w:val="212121"/>
          <w:sz w:val="24"/>
          <w:szCs w:val="24"/>
        </w:rPr>
        <w:t xml:space="preserve"> </w:t>
      </w:r>
      <w:r>
        <w:rPr>
          <w:rFonts w:ascii="Times New Roman" w:hAnsi="Times New Roman" w:cs="Times New Roman"/>
          <w:color w:val="212121"/>
          <w:sz w:val="24"/>
          <w:szCs w:val="24"/>
        </w:rPr>
        <w:br/>
      </w:r>
      <w:proofErr w:type="spellStart"/>
      <w:r>
        <w:rPr>
          <w:rFonts w:ascii="Times New Roman" w:hAnsi="Times New Roman" w:cs="Times New Roman"/>
          <w:color w:val="212121"/>
          <w:sz w:val="24"/>
          <w:szCs w:val="24"/>
        </w:rPr>
        <w:t>Facebook</w:t>
      </w:r>
      <w:proofErr w:type="spellEnd"/>
      <w:r>
        <w:rPr>
          <w:rFonts w:ascii="Times New Roman" w:hAnsi="Times New Roman" w:cs="Times New Roman"/>
          <w:color w:val="212121"/>
          <w:sz w:val="24"/>
          <w:szCs w:val="24"/>
        </w:rPr>
        <w:t xml:space="preserve">: </w:t>
      </w:r>
      <w:hyperlink w:tgtFrame="_blank" w:history="1" r:id="rId10">
        <w:r>
          <w:rPr>
            <w:rStyle w:val="Hyperlink"/>
            <w:rFonts w:ascii="Times New Roman" w:hAnsi="Times New Roman" w:cs="Times New Roman"/>
            <w:color w:val="0082BF"/>
            <w:sz w:val="24"/>
            <w:szCs w:val="24"/>
          </w:rPr>
          <w:t>facebook.com/</w:t>
        </w:r>
        <w:proofErr w:type="spellStart"/>
        <w:r>
          <w:rPr>
            <w:rStyle w:val="Hyperlink"/>
            <w:rFonts w:ascii="Times New Roman" w:hAnsi="Times New Roman" w:cs="Times New Roman"/>
            <w:color w:val="0082BF"/>
            <w:sz w:val="24"/>
            <w:szCs w:val="24"/>
          </w:rPr>
          <w:t>atbalstsuznemejiem</w:t>
        </w:r>
        <w:proofErr w:type="spellEnd"/>
      </w:hyperlink>
      <w:r>
        <w:rPr>
          <w:rFonts w:ascii="Times New Roman" w:hAnsi="Times New Roman" w:cs="Times New Roman"/>
          <w:color w:val="212121"/>
          <w:sz w:val="24"/>
          <w:szCs w:val="24"/>
        </w:rPr>
        <w:t xml:space="preserve"> </w:t>
      </w:r>
      <w:r>
        <w:rPr>
          <w:rFonts w:ascii="Times New Roman" w:hAnsi="Times New Roman" w:cs="Times New Roman"/>
          <w:color w:val="212121"/>
          <w:sz w:val="24"/>
          <w:szCs w:val="24"/>
        </w:rPr>
        <w:br/>
        <w:t xml:space="preserve">  </w:t>
      </w:r>
      <w:r>
        <w:rPr>
          <w:rFonts w:ascii="Times New Roman" w:hAnsi="Times New Roman" w:cs="Times New Roman"/>
          <w:color w:val="212121"/>
          <w:sz w:val="24"/>
          <w:szCs w:val="24"/>
        </w:rPr>
        <w:br/>
      </w:r>
      <w:r>
        <w:rPr>
          <w:rFonts w:ascii="Times New Roman" w:hAnsi="Times New Roman" w:cs="Times New Roman"/>
          <w:noProof/>
          <w:color w:val="212121"/>
          <w:sz w:val="24"/>
          <w:szCs w:val="24"/>
        </w:rPr>
        <w:drawing>
          <wp:inline distT="0" distB="0" distL="0" distR="0">
            <wp:extent cx="673100" cy="514350"/>
            <wp:effectExtent l="0" t="0" r="0" b="0"/>
            <wp:docPr id="1" name="Picture 1" descr="cid:image001.png@01D6E806.C8635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6E806.C8635850"/>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673100" cy="514350"/>
                    </a:xfrm>
                    <a:prstGeom prst="rect">
                      <a:avLst/>
                    </a:prstGeom>
                    <a:noFill/>
                    <a:ln>
                      <a:noFill/>
                    </a:ln>
                  </pic:spPr>
                </pic:pic>
              </a:graphicData>
            </a:graphic>
          </wp:inline>
        </w:drawing>
      </w:r>
    </w:p>
    <w:p w:rsidR="00C40CE7" w:rsidRDefault="00C40CE7">
      <w:bookmarkStart w:name="_GoBack" w:id="0"/>
      <w:bookmarkEnd w:id="0"/>
    </w:p>
    <w:sectPr w:rsidR="00C40CE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00D8"/>
    <w:rsid w:val="004F00D8"/>
    <w:rsid w:val="00C40CE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14E96F-1304-4E0C-BA4D-0E23F7847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00D8"/>
    <w:pPr>
      <w:spacing w:after="200" w:line="276" w:lineRule="auto"/>
    </w:pPr>
    <w:rPr>
      <w:rFonts w:ascii="Calibri" w:hAnsi="Calibri" w:cs="Calibri"/>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F00D8"/>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608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em.gov.lv"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arnis.latisenko@em.gov.lv" TargetMode="External"/><Relationship Id="rId12" Type="http://schemas.openxmlformats.org/officeDocument/2006/relationships/image" Target="cid:image001.png@01D6E806.C863585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tac@ptac.gov.lv" TargetMode="External"/><Relationship Id="rId11" Type="http://schemas.openxmlformats.org/officeDocument/2006/relationships/image" Target="media/image1.png"/><Relationship Id="rId5" Type="http://schemas.openxmlformats.org/officeDocument/2006/relationships/hyperlink" Target="mailto:ptac@ptac.gov.lv" TargetMode="External"/><Relationship Id="rId10" Type="http://schemas.openxmlformats.org/officeDocument/2006/relationships/hyperlink" Target="http://www.facebook.com/atbalstsuznemejiem" TargetMode="External"/><Relationship Id="rId4" Type="http://schemas.openxmlformats.org/officeDocument/2006/relationships/hyperlink" Target="mailto:Pasts@em.gov.lv" TargetMode="External"/><Relationship Id="rId9" Type="http://schemas.openxmlformats.org/officeDocument/2006/relationships/hyperlink" Target="http://www.youtube.com/ekonomikasministrij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4321</Words>
  <Characters>2464</Characters>
  <Application>Microsoft Office Word</Application>
  <DocSecurity>0</DocSecurity>
  <Lines>20</Lines>
  <Paragraphs>13</Paragraphs>
  <ScaleCrop>false</ScaleCrop>
  <Company/>
  <LinksUpToDate>false</LinksUpToDate>
  <CharactersWithSpaces>6772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 Alienware</dc:creator>
  <cp:keywords/>
  <dc:description/>
  <cp:lastModifiedBy>Dell Alienware</cp:lastModifiedBy>
  <cp:revision>1</cp:revision>
  <dcterms:created xsi:type="dcterms:W3CDTF">2021-05-20T06:59:00Z</dcterms:created>
  <dcterms:modified xsi:type="dcterms:W3CDTF">2021-05-20T07:00:00Z</dcterms:modified>
</cp:coreProperties>
</file>