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veselības nozares Digitālo kompetenču centra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32.punkta 3.apakšpunktu, 37.punkta b apakšpunktu un 47. punkta tabulu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piedāvā noteikt, ka kapitāldaļu īpašnieki ir Veselības ministrija un trīs klīniskās universitāšu slimnīcas. Ziņojuma 37.b punktā, kā pamatojums klīnisko universitāšu slimnīcu iesaistei kā kapitāldaļu turētājām, ir minēts, ka “šāds dalījums veicinātu līdzsvarotu pieeju lēmumu pieņemšanā, salāgojot politiskās un veselības aprūpes pakalpojumu sniedzēju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ieskatā šāds dalījums, kad kapitāldaļu īpašnieki ir Veselības ministrija un trīs tās pārraudzībā esošas kapitālsabiedrības rada līdzsvarotas pieejas fikciju.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Pretrunā ar līdzsvarotu pieeju ir arī VM piedāvājums noteikt, ka kapitāldaļu īpašnieki papildus Veselības ministrijai ir tikai klīniskās universitāšu slimnīcas.  Veselības aprūpe nesastāv tikai no terciārā līmeņa pakalpojumiem. Tāpat veselības aprūpe nesastāv tikai no valsts kapitālsabiedrību sniegtiem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VM piedāvātais risinājums pārējos veselības aprūpes pakalpojumu sniedzējus faktiski izslēdz no tiešas iesaistes nozarei svarīgu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Veselības ministrijas (VM) izstrādāto konceptuālā ziņojuma projektu “Par veselības nozares Digitālo kompetenču centra izveidi” (turpmāk tekstā - Projekts) un konceptuāli atbalsta vienota digitālo kompetenču centra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sadaļas “Kopsavilkums” 6.punktu un 8.punktu, kā arī pret Projekta 32., 33., 36., 37., 38., 39. un 48.punktu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piedāvā Digitālo kompetenču centru veidot kapitālsabiedrības formā, kam saskaņā ar Komerclikuma 1.pantu ir peļņas gūšanas nolūks. Savukārt Digitālo kompetenču centram noteiktais vispārējais stratēģiskais darbības mērķis nav peļņas gūšana, bet “attīstīt un efektīvi pārvaldīt veselības nozares digitalizāciju, veicinot iesaistīto pušu sadarbību un radot sabiedrībai nozīmīgus un nepieciešamus digitālās veselības pakalpojumus, nodrošināt veselības nozares valsts informācijas sistēmu IKT infrastruktūras pilnveidi un veicināt digitālo tehnoloģiju plašāku izmantošanu veselības aprūpē.”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18.01.2024. 21.15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18.01.2024. 21.15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Atzinumi_23-TA-3329.docx</dc:title>
</cp:coreProperties>
</file>

<file path=docProps/custom.xml><?xml version="1.0" encoding="utf-8"?>
<Properties xmlns="http://schemas.openxmlformats.org/officeDocument/2006/custom-properties" xmlns:vt="http://schemas.openxmlformats.org/officeDocument/2006/docPropsVTypes"/>
</file>