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Sadarbības partnerim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saskaņā 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sadarbības līguma nosacījumiem tiks piešķirts projekta finansējums, kas nepārsniedz 40 procentus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norādītā kopējā pasākumam pieejamā finansējuma. Sadarbības partnerim piešķiramā finansējuma apjoms tiks proporcionāli palielināts, ja stāsies spēkā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iebilst pret konkrēta finansējuma saņemšanas sliekšņa noteikšanu projekta sadarbības partnerim. Par finansējuma sadalījumu starp Sabiedrības integrācijas fondu un NVO-MK Memoranda padomes deleģēto pārstāvi būtu jāvienojas tad, kad ir skaidri zināms, kādiem nolūkiem tie plāno izmantot atvēlēto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Izlēgt šo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 (Providus)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konsultantu, ekspertu un speciālistu piesaiste;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un NVO pilsoniskā dialoga mehānismam primāri ir jātiek organizētam caur MK-NVO Memoranda Padomi. Tādēļ ierosinām atrunāt, ka konsultantu, ekspertu un speciālistu piesaiste tiks organizēta primāri Nevalstisko organizāciju un Ministru kabineta sadarbības memoranda īstenošanas padomes darba nodrošināšanas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Frīdenberga (Providus)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25.08.2023.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25.08.2023.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Atzinumi_23-TA-760.docx</dc:title>
</cp:coreProperties>
</file>

<file path=docProps/custom.xml><?xml version="1.0" encoding="utf-8"?>
<Properties xmlns="http://schemas.openxmlformats.org/officeDocument/2006/custom-properties" xmlns:vt="http://schemas.openxmlformats.org/officeDocument/2006/docPropsVTypes"/>
</file>