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kopējie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tiks sniegtas apmācības, lūdzam papildināt ar kopējo rādītāju "Izglītības vai apmācības dalībnieku skaits". Tāpat ņemto vērā, ka pasākuma ietvaros tiks sniegts atbalsts mediju uzņēmumu darbiniekiem, lūdzam noteikt, ka finansējuma saņēmējam ir pienākums uzkrāt mediju uzņēmumu darbinieku datus, detalizētu informāciju lūdzam norādīt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gala labuma guvēju projekta ietvaros iegādātie materiālie un nemateriālie aktīvi, kuru nepieciešamību, projekta mērķu sasniegšanai, noteicis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norādot piemērus, kas varētu ietilpt noteikumu projekta 15.3. apakšpunktā minētajā izmaksu pozīcijā, ņemot vērā, ka gala labuma guvēji ir Latvijas mediju nozares speciālisti un mediju uzņēmumu darbinieki.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minētās izmaksas ir attiecināmas, ja tās ir ieguldījumi materiālajos aktīvos, saskaņā ar Komisijas regulas Nr. 651/2014 2. panta 29. punktu, vai nemateriālajos aktīvos, saskaņā ar Komisijas regulas Nr. 651/2014 2. panta 30. punktu, un ir saistītas ar pamatlīdzekļa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projektā ietvertās informācijas nav skaidra noteikumu projekta 17.punktā ietvertā nosacījuma nepieciešamība, ņemot vērā, ka Kultūras ministrija anotācijā ir skaidrojusi, ka pasākuma ietvaros komercdarbības atbalsta piešķiršana nav paredzēta. Ja attiecībā uz investīciju tomēr ir paredzēts sniegt atbalstu saskaņā ar Komisijas regulas Nr.651/2014 kādu no mērķiem, aicinām noteikumu projektā ietvert arī pārējos nosacījumus, kas izriet no Komisijas regulas Nr.651/2014, kā arī precizēt informāciju anotācijā par komercdarbības atbalsta kontroles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Nodokļa izmaksas nav attiecināmas finansēšanai no Atveseļošanas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15.4.apakšpunktu attiecināmas ir projekta vadības un projektu īstenošanas personāla izmaksas, lūgums precizēt, vai nav attiecināms pievienotās vērtības nodoklis vai jebkuri nodokļi, t.sk. atalgojuma nodokļi - iedzīvotāju ienākuma nodoklis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ir juridiska persona vai juridisku personu apvienība, kas katra atsevišķi vismaz divus gadus pirms projekta iesniegšanas ir reģistrēta Latvijas Republikas Uzņēmumu reģistrā un tā nodrošina kompetences šādās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apliecināma atbilstošu kompetenču esamība projekta iesniedzējam, kā arī nepieciešamības gadījumā lūdzam papildināt noteikumu projekta 24. punktu ar atbilstošu apliecinošu dokumentu iesniegšanu (ja kompetenču atbilstība izriet no publiski pieejamas informācijas, tad nav nepieciešama apliecinošu dokumentu iesniegšana un 24. punkta papildināšana ar to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iesniegumam pievieno projekta īstenošanas stratēģiju un procedūras aprakstu, kā tiks nodrošināta atbalsta sniegšana gala labuma guvējiem. Stratēģijā ietver informāciju par projekta īstenošanas plānu, mērķiem, sasniedzamajiem rezultātiem, projekta vadības un īstenošanas personālu, tā darba uzdevumiem un funkcijām, lai nodrošinātu pasākuma mērķu sasniegšanu, kritērijus vai metodes, kā tiks atlasīti mediju uzņēmumi digitālās kompetences un zināšanu pilnveidošanai, kā tiks izvērtēti to darbības rezultāti, uz kuriem balstoties var tikt pieņemts lēmums par projekta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iesniegumam pievienojamo dokumentu sarakstu ar apliecinājumu, ka projekta iesniedzēja organizācijā ir izstrādāta šo noteikumu 44.11. apakšpunktam atbilstoša iekšējās kontroles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pārskatāmības nolūkos aicinām 24. punkta saturu izteikt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iesniegumam pievieno projekta īstenošanas stratēģiju un procedūras aprakstu, kā tiks nodrošināta atbalsta sniegšana gala labuma guvējiem. Stratēģijā ietver informāciju par projekta īstenošanas plānu, mērķiem, sasniedzamajiem rezultātiem, projekta vadības un īstenošanas personālu, tā darba uzdevumiem un funkcijām, lai nodrošinātu pasākuma mērķu sasniegšanu, kritērijus vai metodes, kā tiks atlasīti mediju uzņēmumi digitālās kompetences un zināšanu pilnveidošanai, kā tiks izvērtēti to darbības rezultāti, uz kuriem balstoties var tikt pieņemts lēmums par projekta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Valsts ieņēmumu dienesta 16.11.2023. vēstulē Nr. VID.4.1/8.4/870 </w:t>
            </w:r>
            <w:r w:rsidR="00000000" w:rsidRPr="00000000" w:rsidDel="00000000">
              <w:rPr>
                <w:b w:val="1"/>
                <w:rtl w:val="0"/>
              </w:rPr>
              <w:t xml:space="preserve">Par amatpersonas statusa piemērošanu vairāku līmeņu </w:t>
            </w:r>
            <w:r w:rsidR="00000000" w:rsidRPr="00000000" w:rsidDel="00000000">
              <w:rPr>
                <w:b w:val="1"/>
                <w:rtl w:val="0"/>
              </w:rPr>
              <w:t xml:space="preserve">projektos </w:t>
            </w:r>
            <w:r w:rsidR="00000000" w:rsidRPr="00000000" w:rsidDel="00000000">
              <w:rPr>
                <w:rtl w:val="0"/>
              </w:rPr>
              <w:t xml:space="preserve">sniegto skaidrojumu (ja nepieciešams, vēstuli informācijai varam pārsūtīt), lūdzam papildināt MK noteikumu projektu ar jaunu punktu, kas nosaka, ka "Finansējuma saņēmēja lēmuma pieņemšanā par atbalsta sniegšanu gala labuma guvējiem iesaistītās personas ir uzskatāmas par valsts amatpersonām likuma Par interešu konflikta novēršanu valsts amatpersonu darbībā 4.panta trešās daļas izpratnē, bez pienākuma iesniegt valsts amatpersonu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Projektu iesniegumu vērtēšanai aģentūra izveido projektu iesniegumu vērtēšanas komisiju, kurā piesaista Kultūras ministrijas deleģētus ekspertus un vismaz vienu ārvalstu ekspertu mediju nozares speciālistu digitālās kompetences un zināšanu pilnveidošanas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šķēršļu mazināšanas nolūkos aicinām paredzēt, ka ārvalstu eksperts netiek iekļauts kā pilnvērtīgs komisijas loceklis, bet gan tiek piesaistīts kādu konkrētu kritēriju/aspektu vērtēšanai. Vienlaikus noteikumu projektā lūdzam regulēt ārvalstu eksperta atlases procesu (vai tas tiek izvēlēts kādā konkrētā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Projektu iesniegumu vērtēšanai aģentūra izveido projektu iesniegumu vērtēšanas komisiju, kurā piesaista Kultūras ministrijas deleģētus ekspertus. Projektu iesniegumu atlasē tiek iesaistīts vismaz viens ārvalstu eksperts mediju nozares speciālistu digitālās kompetences un zināšanu pilnveidošanas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finansējuma saņēmējs avansa maksājumu var saņemt, iesniedzot pieprasījumu avansa maksājumam un pamatojot avansa maksājuma apmēru, vienlaikus nodrošinot, ka tas nepārsniedz 30 procentus no projekta attiecināmajām izmaksām un ir jāapgūst sešu mēnešu laikā saimnieciskā gada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ietvaros attiecināmība ir nevis pret piešķirtā finansējuma ieguldīšanu, bet pret mērķu sasniegšanu, tad lūdzam precizēt noteikumu projekta 39.1.apakšpunktu, svītrojot vārdus "ir jāapgūst sešu mēnešu laikā saimnieciskā gada ietvaros". Attiecīgi lūdzam izvērtēt un minētās normas vietā noteikt, ka avanss ir uzskatāms par attiecinātu, ja finansējuma saņēmējs ir sasniedzis 30% no projektā noteiktajiem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naudas plūsmu, investīcijas ieviešanas nosacījumos var norādīt konkrētu termiņu, kādā jāsasniedz attiecīgais atskaites punkts, izmantojot saņemto avansu, un kārtība, kādā tas atmaksājams, ja attiecīgais atskaites punkts konkrētajā termiņā netiek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ar nosacījumiem, kuri ir jāievēro, lai tiktu izmaksāts avanss, piemēram: finansējuma saņēmējs ir atvēris kontu Valsts kasē vai darījumu kontu Latvijas Republikā reģistrētā kredītiestādē vai Eiropas Savienībā reģistrētā kredītiestādē, kas ir izsniegusi bankas garantiju par labu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projektā aizstāt vārdu "apgūt" ar vārdu "ieguldīt".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paredz, ka finansējuma saņēmējs sniedz atbalstu gala labuma guvējiem, finansējuma saņēmējam ir saistošas Komisijas regulas Nr. 2018/1046  61. panta prasības attiecībā uz korupcijas un interešu konflikta novēršanu. Lai nodrošinātu nepieciešamo prasību izpildi, lūdzam papildināt noteikumu projektu ar jaunu finansējuma saņēmēja pienākumu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 </w:t>
            </w:r>
            <w:r w:rsidR="00000000" w:rsidRPr="00000000" w:rsidDel="00000000">
              <w:rPr>
                <w:rtl w:val="0"/>
              </w:rPr>
              <w:t xml:space="preserve">līdz projekta iesnieguma iesniegšanai izstrādāt iekšējās kontroles sistēmu korupcijas un interešu konflikta riska novēršanai (iekšējo kārtību), ietverot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44.11.1. </w:t>
            </w:r>
            <w:r w:rsidR="00000000" w:rsidRPr="00000000" w:rsidDel="00000000">
              <w:rPr>
                <w:rtl w:val="0"/>
              </w:rPr>
              <w:t xml:space="preserve">pasākumus interešu konflikta riska kontrolei (preventīvus pasākumus un konstatēšanas pasākumus interešu konflikta riska kontrolei, t. sk. paziņošanas procedūru, labošanas pasākumus) tai skaitā ietverot informāciju par interešu konflikta novēršanu saskaņā ar Eiropas Parlamenta un Padomes 2018. gada 18. jūlija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Komisijas regulas Nr. 2018/1046  (turpmāk – Finanšu regula)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44.11.2</w:t>
            </w:r>
            <w:r w:rsidR="00000000" w:rsidRPr="00000000" w:rsidDel="00000000">
              <w:rPr>
                <w:rtl w:val="0"/>
              </w:rPr>
              <w:t xml:space="preserve">.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44.11.3.</w:t>
            </w:r>
            <w:r w:rsidR="00000000" w:rsidRPr="00000000" w:rsidDel="00000000">
              <w:rPr>
                <w:rtl w:val="0"/>
              </w:rPr>
              <w:t xml:space="preserve">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44.11.4.</w:t>
            </w:r>
            <w:r w:rsidR="00000000" w:rsidRPr="00000000" w:rsidDel="00000000">
              <w:rPr>
                <w:rtl w:val="0"/>
              </w:rPr>
              <w:t xml:space="preserve">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44.11.5. </w:t>
            </w:r>
            <w:r w:rsidR="00000000" w:rsidRPr="00000000" w:rsidDel="00000000">
              <w:rPr>
                <w:rtl w:val="0"/>
              </w:rPr>
              <w:t xml:space="preserve">kārtību, kā darbiniekiem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44.11.6.</w:t>
            </w:r>
            <w:r w:rsidR="00000000" w:rsidRPr="00000000" w:rsidDel="00000000">
              <w:rPr>
                <w:rtl w:val="0"/>
              </w:rPr>
              <w:t xml:space="preserve"> pasākumus aizliegto vienošanos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44.11.7.</w:t>
            </w:r>
            <w:r w:rsidR="00000000" w:rsidRPr="00000000" w:rsidDel="00000000">
              <w:rPr>
                <w:rtl w:val="0"/>
              </w:rPr>
              <w:t xml:space="preserve">dubultā finansējuma novēršanas mehānismu pret citiem finansēšanas avotiem, tai skaitā pret Eiropas Savienības kohēzijas politikas programmu 2021.–2027.gadam,  Eiropas Savienības struktūrfondu un Kohēzijas fonda 2014.–2020.gada plānošanas perioda darbības programmu "Izaugsme un nodarbinātība" un citiem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44.11.8. </w:t>
            </w:r>
            <w:r w:rsidR="00000000" w:rsidRPr="00000000" w:rsidDel="00000000">
              <w:rPr>
                <w:rtl w:val="0"/>
              </w:rPr>
              <w:t xml:space="preserve">ziņošanas mehānismu kompetentajām iestādēm par potenciāliem administratīviem vai kriminālpārkāpumiem.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ka finansējuma saņēmējam ir pienākums rīkot atklātu projektu iesniegumu konkursu gala labumu guvēju atlasei (atbilstoši anotācijā skaidrotajam), un nosacījumus gala labuma guvējiem, kas drīkst piedalīties atlasē. Kā arī lūdzam papildināt noteikumu projektu, nosakot kārtību, kādā gala labuma guvējs apstrīd finansējuma saņēmēja lēmumu par atbalsta piešķiršanas atteikumu.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investīciju plānots īstenot, paredzot, ka finansējuma saņēmējs atbalstu sniedz tālāk gala labuma guvējiem, noteikumu projektā nepieciešams atrunāt pienākumu finansējuma saņēmējam nodrošināt vismaz šādas pārbaudes gala labuma guvēju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konflikta, korupcijas un krāpšanas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dubultfinansējuma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sasniegto atskaites punktu un mērķu pamatojošās dokumentācijas pārbaude, t.sk. datu ticamības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 vispārīgos atbilstības kritērijus Nr. 2.3. un 2.4., ņemot vērā, ka tie abi attiecas uz projekta iesniedzēja atbilstību un skatāmi kopsakarā;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Dzēst vispārīgo atbilstības kritēriju Nr. 2.7., jo gadījumā, ja projekta iesniegums netiks iesniegts Vadības informācijas sistēmā, tas netiks vērtēts, proti, netiks pārbaudīta tā atbilstība kritērijiem, savukārt pielikumi būtu vērtējami to kritēriju ietvaros, kuru vērtēšanai attiecīgais pielikums ir nepieciešams, nevis tikai pielikumu pievienošanas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vispārīgo atbilstības kritēriju Nr. 2.8., lai izvairītos no formālisma;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Dzēst specifisko atbilstības krtiēriju Nr. 3.2., jo tas dublē vispārīgās atbilstības kritēriju Nr.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Pārskatīt kvalitātes kritērijus, jo tie balstās uz ļoti subjektīviem aspektiem – piemēram, "pietiekami aprakstīts", "atsevišķi jautājumi nav aprakstīti pietiekoši detalizēti" nav objektīvi izvērtējami punktu skalā, turklāt leicina par projekta iesnieguma literāro kvalitāti, nevis projekta spēju efektīvāk sasniegt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Iesniegt kritēriju piemērošanas metodiku, lai būtu iespējams sniegt visaptverošu viedokli par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apakšsadaļu "Risinājuma apraksts" ar papildus skaidrojumu par 2.2.1.5.i. investīcijas mācību pasākuma un procesu modernizācijas pasākuma (abu kopā) ietekmi uz mērķrādītājiem "Izveidoto platformu un digitālo risinājumu skaits" un "Atbalstīto projektu skaits", paskaidrojot ar kādu pasākumu tiks sasniegti šie rādītāji un kādā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sinerģiju un demarkāciju ar citu atbalsta instrumentu investīcijām un dubultfinansējuma riska mazināšanu. Īpaši lūdzam pamatot kā tiks nodrošināta demarkācija ar citu Atveseļošanas fonda investīciju un ES fondu atbalsta pasākumu ietvaros paredzētajam apmācībām, piemēram,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30. un 40.punktā paredzēto atbalstu. Tāpat lūdzam sniegt skaidrojumu par demarkāciju ar Nacionālās elektronisko plašsaziņas līdzekļu padomes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5.2.apakšpunktā noteikto, lūdzam anotācijā ietvert papildus skaidrojumu, ka finansējuma saņēmējam būs pienākums uzskaitīt kopējos rādītājus šādā detalizācijā: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rādītajam "uzņēmumi, kas saņem atbalstu digitālo produktu, pakalpojumu un lietojumprogrammu izstrādei vai ieviešanai" un "atbalstītie uzņēmumi (tai skaitā – mazi uzņēmumi, tostarp mikrouzņēmumi, vidēji uzņēmumi un lieli uzņēmumi)" ir jāuzskaita atbalstītie uzņēmumi pēc to lieluma: a) mazie, tai skaitā mikro, uzņēmumi; b) vidējie uzņēmumi un c) 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rādītajam "Izglītības vai apmācības dalībnieku skaits" atsevišķi ir jāuzskaita vīrieši, sievietes un nebinārās personas pa vecuma grupām: 1) 18-29 gadi; 2) 30-54 gadi; 3) 55 gadi un vairāki. Tāpat atsevišķi no minētā jāizdala arī digitālo prasmju apmācību dalībnieku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pasākuma ietvaros tiek paredzēta publisko līdzekļu piešķiršana, tai skaitā, investīciju veidā, lūdzam sniegt plašāku skaidrojumu anotācijā, kādēļ atbalsta programmas ietvaros plānotais atbalsts nekvalificējas kā komercdarbības atbalsts. Tostarp, aicinām anotāciju papildināt saskaņā ar Kultūras ministrijas 01.09.2023 vēstulē Nr.5.1-1/1148 "Par Kultūras ministrijas plānoto atbalstu mediju nozarē" norādīto "</w:t>
            </w:r>
            <w:r w:rsidR="00000000" w:rsidRPr="00000000" w:rsidDel="00000000">
              <w:rPr>
                <w:i w:val="1"/>
                <w:rtl w:val="0"/>
              </w:rPr>
              <w:t xml:space="preserve">Tā kā latviešu valoda tiek lietota šaurā ģeogrāfiskā tvērumā un salīdzinoši mazskaitlīgā personu lokā, secināms, ka Latvijas mediju uzņēmumu pakalpojumi tiek sniegti vietējā vai reģionālā tirgū, kā arī tirgus segmentā, kurā nav konstatējama būtiska citu dalībvalstu komersantu dalība. Tādējādi Kultūras ministrijas plānotie atbalsta pasākumi Latvijas mediju uzņēmumiem nevarētu ietekmēt patērētāju piesaisti ārpus Latvijas teritorijas, un ārpus personu loka, kuras lieto latviešu valodu. Līdz ar to uzskatāms, ka Kultūras ministrijas plānotie atbalsta pasākumi neradīs ietekmi uz Eiropas Savienības iekšējo tirgu, proti, nekropļos konkurenci tirdzniecībai starp dalībvalstīm. Ņemot vērā minēto, Kultūras ministrija secina, ka aprakstītie atbalsta pasākumi Latvijas mediju uzņēmumiem nav uzskatāmi par valsts atbalstu LESD 107. panta pirmās daļas izpratnē</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skaidrojumu par pasākuma pienesumu tautsaimniecībai, piemēram, izmērāmu ietekmi uz makroekonomisko vidi, pienesums ekonomikas transformācijai, nozaru konkurētspējai, uzņēmējdarbības videi, nodarbinātībai, kā arī ietekmi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iesniegts noteikumu projekta un anotācijas tulkojumu angļu valodā priekš iesniegšanas saskaņošanai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pasākuma ieviešanā iesaistīto institūciju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 apakšpunktā vārdus "institūciju kompetenci" ar vārdiem "institūcijas, to pienākumus un tiesības", ņemot vērā, ka noteikumu projektā tiek identificētas institūcijas, kas nodrošinās pasākuma ieviešanu un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projekta iesniedzējam un investīcijas ieviešanas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1.5.apakšpunktā un visā dokumentā aizstāt “investīcijas” ar “investīcijas pasākuma”, ņemot vērā, ka konkrētie noteikumi attiecināmi uz 2.2.1.5.i mācību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pasākuma gala labuma guvēji ir Latvijas mediju nozares speciālisti un mediju uzņēmumu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4.punktu ar vārdiem "mērķa grupa", izsakot minēto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pasākuma mērķa grupa un gala labuma guvēji ir Latvijas mediju nozares speciālisti un mediju uzņēmumu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pasākuma gala labuma guvēji ir Latvijas mediju nozares speciālisti un mediju uzņēmumu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interpretāciju par gala labuma guvējiem noteikumu projekta 4. punktā un anotācijā – saskaņā ar anotācijā norādīto gala labuma guvēji ir mediju nozares asociācijas un uzņēmumi, nevis to darbinieki vai speciālisti.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mērķrādītājs ir līdz 2026. gada 30. jūnijam noslēgti līgumi par mācību veikšanu digitālās kompetences un zināšanu pilnveidošanai ar vismaz 10 dažādiem mediju uzņēmumiem, aptverot vismaz 100 mediju nozares speciālistus;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atbilstību Padomes īstenošanas lēmumam par Latvijas atveseļošanas un noturības plāna novērtējuma apstiprināšanu (CID) mērķrādītājam Nr. 54, aizstājot vārdus "noslēgtie līgumi" ar vārdiem "atbalstīti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Atveseļošanas fonda atbalsta intensitāte ir 100 procenti no projekta kopējā attiecināmā finansējuma bez pievienotās vērtības nodokļa (turpmāk – nodoklis).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punktā vārdus "bez pievienotās vērtības nodokļa (turpmāk – nodoklis)", lai nerastos interpretācijas iespējas, ņemot vērā, ka pievienotās vērtības nodoklis netiek attiecināts no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procesu efektivizēšana un izmaksu samazināšana uz digitālās transformācijas rēķina;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14.2. apakšpunkta kā atbalstāmās darbības saturu vai anotācijā izvērst atbalstāmo darbību skaidrojumu. Vismaz izmaksu samazināšana ir kādas darbības sekas, rezultāts, bet ne patstāvīga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ar kompetences paaugstināšanu saistīto pasākumu organizēšanu un īstenošanu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detalizēt ar pasākumu organizēšanu un īstenošanu saistīto izmaksu pozīcijas. Esošā redakcija paver ļoti plašas interpretācijas iespējas par šīm izmaksām, tādējādi ļaujot attiecināt teju visu, taču vienlaikus atsevišķu izmaksu lietderība šī pasākuma mērķu sasniegšanai varētu būt apšaubāma.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ar projekta darbībām tieši saistīto publicitātes un vizuālās identitātes pasākumu izmaksas, kas veiktas atbilstoši Eiropas Parlamenta un Padomes 2021. gada 12. februāra Regulas Nr. 2021/241, ar ko izveido Atveseļošanas un noturības mehānismu (turpmāk – regula Nr. 2021/241) 34. panta 2. punkta prasībām, nepārsniedzot vienu procentu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15.5. apakšpunktā minētā regula neparedz publicitātes un vizuālās identitātes prasību nodrošināšanas izmaksas, bet šo prasību saturu, turklāt noteikumu projekta 44.7. apakšpunktā ir ietverts finansējuma saņēmēja pienākums nodrošināt šo prasību ievērošanu atbilstoši minētajai regulai. Ievērojot minēto, rosinām svītrot noteikumu projekta 15.5. apakšpunktā vārdus un skaitļus “kas veiktas atbilstoši Eiropas Parlamenta un Padomes 2021. gada 12. februāra Regulas Nr. 2021/241, ar ko izveido Atveseļošanas un noturības mehānismu (turpmāk – regula Nr. 2021/241) 34. panta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Nodokļa izmaksas nav attiecināmas finansēšanai no Atveseļošanas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19. punktu vai nu pārcelt aiz 12.punkta, vai nu apvienot ar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Nodokļa izmaksas nav attiecināmas finansēšanai no Atveseļošanas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no kādiem līdzekļiem tiks segts pievienotās vērtības nodoklis.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saskaņā ar projektu iesniegumu konkursa nolikumu un iesniedz to Kohēzijas politikas fondu vadības informācijas sistēmā (turpmāk – Vadības informācijas sistēma) sludinājumā par projekta iesniegumu konkursa izsludināšanu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MKN tekstā, ierosinām redakcionāli precizēt punktu, vārdu "konkursa" aizstājot ar "atlases" un "sludinājumā" aizstājot ar "paziņojumā".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sagatavo projekta iesniegumu saskaņā ar projektu iesniegumu atlases nolikumu un iesniedz to Kohēzijas politikas fondu vadības informācijas sistēmā (turpmāk – Vadības informācijas sistēma) paziņojumā par projekta iesniegumu atlases izsludināšanu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Projektu iesniegumu iesniegšanas, vērtēšanas un līguma par projekta īstenošanu slēgšanas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projekts nav papildināms, nosakot iespēju atbalstīt projekta iesniegumu par samazinātu finansējumu, t.i., piešķirot finansējumu mazākā apmērā, nekā projekta iesniedzējs pieprasījis, kā arī nosakot kārtību rīcībai gadījumā, ja pēc projektu iesniegumu atlases izveidojies finansējuma atlikums.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pasākumu īsteno atklāta projektu iesniegumu atlases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noteikumu projekta 25. punktu, ņemot vērā, ka tas dublē noteikumu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kopējais punktu skaits ir vienāds, priekšroku dod projekta iesniegumam, kuram lielāks punktu skaits piešķirts par kvalitātes kritērija “Pieteicēja spēja un motivācija realizēt projektu” izpildi. Ja vēl joprojām ir vienāds punktu skaits, priekšroku dod projekta iesniegumam, kuram lielāks punktu skaits piešķirts par kvalitātes kritērija “Pieteicēja spēja un motivācija realizēt projektu”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abos gadījumos norādīts viens kvalitātes kritērijs “Pieteicēja spēja un motivācija realizēt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Aģentūra, pamatojoties uz projektu iesniegumu vērtēšanas komisijas sniegto atzinumu, pieņem pārvaldes lēmumu (triju mēnešu laikā no projektu iesniegumu iesniegšanas termiņa beigām)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22.punktā definēto projektu iesniedzēju loku, proti, juridiskas personas vai juridisku personu apvienības, ierosinām šajā punktā precizēt, ka CFLA izdod administratīvos aktus. Kā arī lūdzam noteikt lēmuma pieņemšanas termiņu atbilstoši Administratīvā procesa likuma 64.pantā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 (Dainis Upmacis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Aģentūras lēmumu par projekta iesnieguma apstiprināšanu vai noraidīšanu mēneša laikā var apstrīdēt Finanšu ministrijā kā Atveseļošanas fonda koordinējošā iestādē. Savukārt Finanšu ministrijas izdoto administratīvo aktu var pārsūdzēt, iesniedzot pieteikumu Administratīvās rajona tiesas attiecīgajā tiesu namā.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32. un 34.punktā noteikto, ka aģentūra pieņem arī lēmumu par projekta apstiprināšanu ar nosacījumiem, kā arī to, ka praksē projektu iesniedzēji mēdz apstrīdēt tieši pašu lēmumu par nosacījumu izvirzīšanu, aicinām papildināt šī punkta pirmo teikumu kā atsevišķu lēmuma veidu minot arī lēmumu par projekta iesnieguma apstiprināšanu ar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lēmumu par projekta iesnieguma apstiprināšanu, apstiprināšanu ar nosacījumu vai noraidīšanu mēneša laikā var apstrīdēt Finanšu ministrijā kā Atveseļošanas fonda koordinējošā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 (Dainis Upmacis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Līgumā par projekta īstenošanu 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38.punktu, nosakot, ka līgumā ir ietverta kārtība, kādā aģentūra var vienpusēji atkāpties no līguma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finansēšanas plāna iesniegšanas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"finansēšanas plāna" uz "plānoto maksājuma pieprasījumu iesniegšanas grafika"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Projekta īstenošanas un finansējuma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pieņemt lēmumu par finansējuma saņēmēju administrēto izmaksu atbilstību šiem noteikumiem un noslēgtajiem līgumiem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43.1.apakšpunktu izteikt šādā redakcijā “pieņemt lēmumu par izmaksu atbilstību šiem noteikumiem un noslēgtajiem līgumiem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saņēmēju līmenī izlases veidā finansējuma nodrošināt korupcijas, krāpšanas, interešu konflikta novēršanas principu pārbaudes saskaņā ar Komisijas regulas Nr. 2018/1046 61. pantu, kā arī dubultfinansējuma riska novēršanas un sasniegto mērķu pamatojošās dokumentācijas pārbaudes izlases veidā, tai skaitā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43.3. apakšpunktu, pārceļot vārdu "Finansējuma" pirms vārdiem "saņēmēju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nodrošināt piekļuvi ar projekta īstenošanu saistītajai informācijai un spēt to uzrādīt Eiropas Komisijas un Latvijas Republikas Atveseļošanas un noturības mehānisma finansēšanas nolīgumā, normatīvajos aktos, kas nosaka Atveseļošanas fonda plāna īstenošanas un uzraudzības kārtību, nodrošināt investīciju projektu iesniegumu atlasi, minētajām iestādēm un revīzijas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 Ievērojot minēto, lūdzam precizēt noteikumu projekta 44.3. apakšpunktu tā, lai būtu skaidri saprotams, kādām iestādēm finansējuma saņēmējam jānodrošina piekļuve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izstrādāt arī projektu iesniegumu vērtēšanas kritēriju piemērošanas skaidrojumus un atsūtīt tos Centrālajai finanšu un līgumu aģentūrai, tos nepievienojot noteikumu projektam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kritēriju piemērošanas skaidrojumos norādīt izvērstus izslēgšanas kritērijus, atbilstoši Finanšu ministrijas 2023.gada 13.februāra vadlīniju "Vadlīnijas informatīvā ziņojuma vai Ministru kabineta noteikumu izstrādei par Eiropas Savienības Atveseļošanas un noturības mehānisma plāna reformas vai investīcijas ieviešanu" 45.punktā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ir izvērtēta biedrību un nodibinājumu iesaiste pasākuma īstenošanā. Gadījumā, ja iesaiste nav iespējama, aicinām sniegt informāciju un apsvērumus, kādēļ to iesaiste ieviešanā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skaidrojumu, kāpēc pasākuma ietveros nav attiecināms dzimumu līdztiesības un vienlīdzīgu iespēju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1. punktā vārdu "zināšanai", ņemot vērā, ka atbilstoši kārtībai Ministru kabinetam noteikumu projekts ir jāapstiprina.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24.11.2023.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23-TA-2936</w:t>
    </w:r>
    <w:r>
      <w:br/>
    </w:r>
    <w:r w:rsidR="00000000" w:rsidRPr="00000000" w:rsidDel="00000000">
      <w:rPr>
        <w:rtl w:val="0"/>
      </w:rPr>
      <w:t xml:space="preserve">Izdrukāts 24.11.2023.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Atzinumi_23-TA-2936.docx</dc:title>
</cp:coreProperties>
</file>

<file path=docProps/custom.xml><?xml version="1.0" encoding="utf-8"?>
<Properties xmlns="http://schemas.openxmlformats.org/officeDocument/2006/custom-properties" xmlns:vt="http://schemas.openxmlformats.org/officeDocument/2006/docPropsVTypes"/>
</file>