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lēmuma pieņemšanai vajadzīgo informāciju un analīzi attiecībā uz 1.1.1.1. pasākuma elastības finansējuma novirzīšanu, lūdzam papildināt anotāciju ar detālāku informāciju, kas pamatotu elastības finansējuma novirzīšanu 1.1.1.1. pasākuma atbalstāmajām darbībām, t.i., kādi ir lietderības apsvērumi un argumenti, kāda plānota investīciju efektivitāte, t.sk. vai piedāvātais risinājums ir izvērtēts, ņemot vērā Ministru kabinetā (turpmāk - MK) apstiprinātā valdības rīcības plānā noteiktās prioritātes un ir analizēti alternatīvi (stratēģiski prioritārāki) pārdaļu varianti.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obligāto veselības pārbaužu izmaksas finansējuma saņēmēja un sadarbības partnera projekta vadības un īstenošanas personālam, ja tās netiek segtas no veselības apdrošināšanas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vadošās iestādes vadlīniju Nr.1.2 "Vadlīnijas attiecināmo izmaksu noteikšanai Eiropas Savienības programmas kohēzijas 2021.-2027.gada periodā'' 5.2. apakšpunktam obligātās veselības pārbaudes izmaksas ir projekta netiešās attiecināmās izmaksas. Ņemot vērā iepriekšminēto, lūdzam šīs izmaksas paredzēt kā netiešās attiecināmās izmaksas.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jaunradītu darba vietu vai gadījumā,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3000 euro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un nodarbinātā iesaistes periodam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darba vietu aprīkošana jau ir veikta 2024-2026 gados 40% vienotās likmes ietvarā, lūdzam TA lietai pievienot aprēķinu par ieguldījumu darba vietu aprīkošanā konkrētām amata vietām. Šāds aprēķins nepieciešams lai, mainot finansēšanas modeli, varētu nodrošināt nosacījuma “3000 euro vienai darba vietai visā projekta īstenošanas laikā, strādājot pilnā slodzē” ievērošanas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iekšzemes komandējumu un dienesta braucienu izmaksas finansējuma saņēmējam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un </w:t>
            </w:r>
            <w:r w:rsidR="00000000" w:rsidRPr="00000000" w:rsidDel="00000000">
              <w:rPr>
                <w:rtl w:val="0"/>
              </w:rPr>
              <w:t xml:space="preserve">15.6. </w:t>
            </w:r>
            <w:r w:rsidR="00000000" w:rsidRPr="00000000" w:rsidDel="00000000">
              <w:rPr>
                <w:rtl w:val="0"/>
              </w:rPr>
              <w:t xml:space="preserve">apakšpunktā</w:t>
            </w:r>
            <w:r w:rsidR="00000000" w:rsidRPr="00000000" w:rsidDel="00000000">
              <w:rPr>
                <w:rtl w:val="0"/>
              </w:rPr>
              <w:t xml:space="preserve"> un sadarbības partnerim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15.4. </w:t>
            </w:r>
            <w:r w:rsidR="00000000" w:rsidRPr="00000000" w:rsidDel="00000000">
              <w:rPr>
                <w:rtl w:val="0"/>
              </w:rPr>
              <w:t xml:space="preserve">apakšpunktā</w:t>
            </w:r>
            <w:r w:rsidR="00000000" w:rsidRPr="00000000" w:rsidDel="00000000">
              <w:rPr>
                <w:rtl w:val="0"/>
              </w:rPr>
              <w:t xml:space="preserve"> minēto atbalstāmo darbību nodrošināšanai finansējuma saņēmēja un sadarbības partnera projekta vadības un īstenošanas personālam;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punktu norādot, ka iekšzemes komandējumu un dienesta braucienu izmaksas ir attiecināmas, atbilstoši VI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ietvert skaidrojumu vai izstrādātie grozījumi nav uzskatāmi par būtiskiem, tas ir tādi, kas ietekmē darbības veidu, mērķus vai īstenošanas nosacījumus, tādējādi traucējot tās sākotnējo mērķu sasniegšanu, tāpat  skaidrojumu par izstrādāto grozījumu ietekmi uz finansējuma saņēmēju, ka arī to, vai noslēgtajā vienošanās par projekta īstenošanu būs nepieciešams veikt grozījumus.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29.05.2026.gada IZM elektroniskajā pastā sniegtajā aprēķinā tika norādīts, ka MK noteikumu Nr.690 15.4. punktā plānotās darbības “Latvijas zinātnes stratēģiskās komunikācijas īstenošana, tai skaitā, bet ne tikai informācijas un komunikācijas platformas https://researchLatvia.gov.lv un https://latviaspace.gov.lv attīstīšana un funkcionalitātes paplašināšana, sadarbības ar diasporu stiprināšana un Pasaules Latviešu zinātnieku kongresa nodrošināšana” nodrošināšanai plānotas (tai skaitā, bet ne tikai)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"Zinātne Latvijai" 2025-2030 gada kalendāru un izstādes planšetu izgatavošana un piegādes izmaksas plānotas kopā 279 289 EUR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Komunikācijas aktivitātes 2024-2029 gadam 88 166 EUR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Komunikācijas aktivitātes 2026-2029 gadam 185 640 EUR (LZP);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ResearchLatvia reprezentācijas priekšmeti 2024-2025 gadam 36 000 EUR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589 095 EUR (IZM: 403 455 EUR; LZP: 185 640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finansējuma apjomu, lūdzam anotācijā papildus skaidrot izdevumu pamatotību un sniegt izvērtējumu par to samērīgumu, lietderīgumu, efektivitāti un saimnieciskumu pret projekta darbībā plānotā rādītāja nodrošināšanu, ievērojot VI vadlīnijās Nr. 1.2.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TA lietai pievienot aprēķinu par plānotajām tiešajām attiecināmajām izmaksām, norādot konkrētus pasākumus, un to pamatotību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dzēst vārdus "Finansējuma saņēmējam jāizvērtē, vai saimnieciski izdevīgāk ir transportlīdzekli iegādāties vai nomāt, tai skaitā izvērtējot transportlīdzekļa pilnas noslodzes efektivitāti un ilgtspēju, ko sniedz dalīšanās vai koplietošanas pakalpojums. Izmaksām ir jābūt pamatotām, noteiktām atbilstoši ekonomiskuma un efektivitātes principam;", saglabājot nosacījumu, ka transporta izmaksas attiecināmas atbilstoši VI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jaunā finansējuma sadalījumu pa intervences kodiem saskaņā ar Eiropas Savienības kohēzijas politikas programmā 2021.–2027.gadam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finansējuma saņēmējam un sadarbības partnerim pakalpojumu izmaksas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un  </w:t>
            </w:r>
            <w:r w:rsidR="00000000" w:rsidRPr="00000000" w:rsidDel="00000000">
              <w:rPr>
                <w:rtl w:val="0"/>
              </w:rPr>
              <w:t xml:space="preserve">15.7. </w:t>
            </w:r>
            <w:r w:rsidR="00000000" w:rsidRPr="00000000" w:rsidDel="00000000">
              <w:rPr>
                <w:rtl w:val="0"/>
              </w:rPr>
              <w:t xml:space="preserve">apakšpunktā</w:t>
            </w:r>
            <w:r w:rsidR="00000000" w:rsidRPr="00000000" w:rsidDel="00000000">
              <w:rPr>
                <w:rtl w:val="0"/>
              </w:rPr>
              <w:t xml:space="preserve">  minēto darbību īstenošanai. Ja pakalpojuma sniedzējs ir fiziska persona un tā nav reģistrējusies Valsts ieņēmumu dienestā kā pašnodarbināta persona, attiecināmas ir arī darba devēja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nosakot papildu nosacījumus ēdināšanas pakalpojumiem, izvērtējot labās prakse ievērošanu un  ēdināšanas funkcionālo nepieciešamību. Aicinām noteikt ēdināšanas pakalpojumu ierobežojumu, piemēram, proporcija pret kopējiem konkrēta pasākuma izdevumiem, vai arī noteikt ēdināšanas pakalpojuma ierobežojumu (summa EUR) uz vienu pasākuma dalībnieku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16. punktā minēto sadalījumu pa izmaksu veidiem –  tiešās attiecināmās un netiešās attiecināmās izmaksas, un tiešās attiecināmās izmaksas kā faktiskās projekta izmaksas finansējuma saņēmējam un sadarbības partnerim piemēro no 2025. gada 4. oktobra. Līdz 2025. gada 3.oktobrim piemēro sadalījumu pa izmaksu veidiem – tiešās attiecināmās personāla izmaksas un pārējās izmaksas, un pārējās izmaksas plāno kā vienu izmaksu pozīciju, piemērojot vienoto likmi 40 procentu apmērā no tiešajām attiecināmajām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atteikšanās no vienotās likmes piemērošanas lielākā mērā pamatota ar nākotnes pasākumiem, lūdzam papildināt anotāciju ar aprēķiniem/skaidrojumiem par līdzšinējiem zaudējumiem, tādējādi pamatojot retrospektīvu pāreju uz faktiskajām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Virbule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26-TA-1358</w:t>
    </w:r>
    <w:r>
      <w:br/>
    </w:r>
    <w:r w:rsidR="00000000" w:rsidRPr="00000000" w:rsidDel="00000000">
      <w:rPr>
        <w:rtl w:val="0"/>
      </w:rPr>
      <w:t xml:space="preserve">Izdrukāts 15.07.2026.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26-TA-1358</w:t>
    </w:r>
    <w:r>
      <w:br/>
    </w:r>
    <w:r w:rsidR="00000000" w:rsidRPr="00000000" w:rsidDel="00000000">
      <w:rPr>
        <w:rtl w:val="0"/>
      </w:rPr>
      <w:t xml:space="preserve">Izdrukāts 15.07.2026.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Atzinumi_26-TA-1358.docx</dc:title>
</cp:coreProperties>
</file>

<file path=docProps/custom.xml><?xml version="1.0" encoding="utf-8"?>
<Properties xmlns="http://schemas.openxmlformats.org/officeDocument/2006/custom-properties" xmlns:vt="http://schemas.openxmlformats.org/officeDocument/2006/docPropsVTypes"/>
</file>