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kiberdrošības stratēģija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1.tabulā norādītais finansējums ir iekļauts Aizsardzības ministrijas bāzes izdevumos 2023.-2025.gadam, lūdzam atbilstoši precizēt tabulā iekļauto informāciju, nenorādot, ka tas ir papildu nepieciešamais finansējums, kā arī lūdzam izvērtēt šīs tabulas nepieciešamību, ņemot vērā, ka tajā ir aizpildīta viena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5.punktā ir norādīts, ka jautājumu par papildu valsts budžeta līdzekļu piešķiršanu 2024.-2026.gadam jāskata gadskārtējā valsts budžeta un vidēja termiņa budžeta ietvara sagatavošanas procesā, informatīvais ziņojums jāpapildina ar informāciju par vismaz indikatīvi papildu nepieciešamo finansējumu sadalījumā pa iestādēm un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paredzēto uzdevumu īstenošana 2023. gadā tiks nodrošināta Stratēģijā minētajām atbildīgām institūcijām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Stratēģijā paredzētos uzdevumus 2023. gadā īstenos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"likumprojekts par valsts budžetu kārtējam gadam un vidēja termiņa budžeta ietvaru".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13.12.2022.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13.12.2022.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