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pievienojas visiem Baltijas ogļūdeņražu izpētes un ieguves asociācijas iebildumiem un priekšlikumiem. Ievērojot, ka likumprojekts tieši ietekmēs Sabiedrības darbību, lūdzam tos ņemt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lūdz ievērot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attiecībā uz ogļūdeņražiem. Atgādinām,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lūdz noteikt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 tonnām dienā.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 punkta 8. apakšpunkta c)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lūdz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lūdzam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03.12.2024.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03.12.2024.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