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materiāli_Zasulauka iela 10, 10A)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materiāli_Lidlauks)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anotācijas 1.3. punkta rindkopu, kas sākas ar vārdiem “Ņemot vērā minēto, VNĪ 26.02.2026. vēstulē Nr. 4/3-2/1324…”, novēršot neprecizitāti kadastra apzīmējuma norādē. Proti, minētajā rindkopā divās vietās zemes vienības kadastra apzīmējuma 8850 021 0063 vietā kļūdaini norādīts nekustamā īpašuma “Laukpipari” kadastra numurs 8850 021 0129.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VNĪ 26.02.2026. vēstulē Nr. 4/3-2/1324 informēja zemes vienības (zemes vienības kadastra apzīmējums </w:t>
            </w:r>
            <w:r w:rsidR="00000000" w:rsidRPr="00000000" w:rsidDel="00000000">
              <w:rPr>
                <w:b w:val="1"/>
                <w:rtl w:val="0"/>
              </w:rPr>
              <w:t xml:space="preserve">8850 021 0063</w:t>
            </w:r>
            <w:r w:rsidR="00000000" w:rsidRPr="00000000" w:rsidDel="00000000">
              <w:rPr>
                <w:rtl w:val="0"/>
              </w:rPr>
              <w:t xml:space="preserve">) īpašnieku, ka no nekustamā īpašuma “Lidlauks” pārņemšanas brīža (28.11.2025.) līdz tā atsavināšanai VNĪ maksā lietošanas maksu zemes vienības īpašniekam 4% gadā no zemes kadastrālās vērtības par zemes vienības (zemes vienības kadastra apzīmējums </w:t>
            </w:r>
            <w:r w:rsidR="00000000" w:rsidRPr="00000000" w:rsidDel="00000000">
              <w:rPr>
                <w:b w:val="1"/>
                <w:rtl w:val="0"/>
              </w:rPr>
              <w:t xml:space="preserve">8850 021 0063</w:t>
            </w:r>
            <w:r w:rsidR="00000000" w:rsidRPr="00000000" w:rsidDel="00000000">
              <w:rPr>
                <w:rtl w:val="0"/>
              </w:rPr>
              <w:t xml:space="preserve">) daļas 8734,9 m² platībā, atbilstoši būvei piegulošajai platībai, lietošanu.</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anotācijas 1.3. punkta sadaļu “Risinājuma apraksts” papildināt ar norādi, ka pircējam samaksa par nosolīto nekustamo īpašumu jāveic divu nedēļu laikā. Minētais precizējums nodrošinātu skaidrāku pircēja pienākumu atspoguļojumu anotācijā un vienlaikus stiprinātu iepriekš norādīto samērīguma apsvērumu pamatojumu. Attiecīgo skaidrojumu varētu iekļaut uzreiz pēc teikuma, kurā skaidrota nekustamā īpašuma nodošanas 30 dienu termiņa noteikšanas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nekustamo īpašumu valdītājam  – Finanšu ministrijai uzdevumu nodot pircējam valsts nekustamos īpašumus 30 (trīsdesmit) dienu laikā no pirkuma līgumu noslēgšanas dienas, sastādot attiecīgus pieņemšanas un nodošanas aktus. Trīsdesmit dienu termiņš dokumentu nodošanai nekustamo īpašumu pircējiem noteikts, izvērtējot nekustamo īpašumu pircēju pienākumu veikt noteiktas darbības noteiktos termiņos, samērīgi ar nekustamā īpašuma pārdevēja pienākumiem. </w:t>
            </w:r>
            <w:r w:rsidR="00000000" w:rsidRPr="00000000" w:rsidDel="00000000">
              <w:rPr>
                <w:b w:val="1"/>
                <w:rtl w:val="0"/>
              </w:rPr>
              <w:t xml:space="preserve">Atbilstoši Atsavināšanas likuma 30.pantā noteiktajam, izsoles dalībniekam, kurš būs nosolījis augstāko cenu par nekustamo īpašumu, būs jāsamaksā par nosolīto nekustamo īpašumu divu nedēļu laikā.</w:t>
            </w:r>
            <w:r w:rsidR="00000000" w:rsidRPr="00000000" w:rsidDel="00000000">
              <w:rPr>
                <w:rtl w:val="0"/>
              </w:rPr>
              <w:t xml:space="preserve"> Līdz ar to samērīgiem ar nekustamā īpašuma pircēja pienākumiem, veikt noteiktas darbības noteiktos termiņos, ir jābūt arī nekustamā īpašuma pārdevēja pienākumiem.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Dubovskis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26-TA-742</w:t>
    </w:r>
    <w:r>
      <w:br/>
    </w:r>
    <w:r w:rsidR="00000000" w:rsidRPr="00000000" w:rsidDel="00000000">
      <w:rPr>
        <w:rtl w:val="0"/>
      </w:rPr>
      <w:t xml:space="preserve">Izdrukāts 10.04.2026. 20.47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26-TA-742</w:t>
    </w:r>
    <w:r>
      <w:br/>
    </w:r>
    <w:r w:rsidR="00000000" w:rsidRPr="00000000" w:rsidDel="00000000">
      <w:rPr>
        <w:rtl w:val="0"/>
      </w:rPr>
      <w:t xml:space="preserve">Izdrukāts 10.04.2026. 20.47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Atzinumi_26-TA-742.docx</dc:title>
</cp:coreProperties>
</file>

<file path=docProps/custom.xml><?xml version="1.0" encoding="utf-8"?>
<Properties xmlns="http://schemas.openxmlformats.org/officeDocument/2006/custom-properties" xmlns:vt="http://schemas.openxmlformats.org/officeDocument/2006/docPropsVTypes"/>
</file>