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24-TA-1630: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parka "Riežupe"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likuma ''Par īpaši aizsargājamām dabas teritorijām'' 13. panta otro daļu, 14. panta otro daļu un 17.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norādē uz noteikumu projekta izdošanas tiesisko pamatu norādi uz likuma "Par īpaši aizsargājamām dabas teritorijām" 13. panta otro daļu, vienlaikus atbilstoši precizējot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13. panta otrā daļa paredz pilnvarojumu Ministru kabinetam izveidot aizsargājamo ainavu apvidus, dabas liegumus, dabas parkus, aizsargājamās jūras teritorijas un dabas pieminekļus. Vēršam uzmanību, ka dabas parks "Riežupe" ir izveidots ar Ministru kabineta 1999. gada 9. marta noteikumiem Nr. 83 "Noteikumi par dabas parkiem" (turpmāk – Noteikumi Nr. 83), dabas piemineklis "Riežupes smilšu alas" (turpmāk – Riežupes smilšu alas) ar Ministru kabineta 2022. gada 14. jūlija noteikumiem Nr. 461 "Noteikumi par aizsargājamiem ģeoloģiskajiem un ģeomorfoloģiskajiem dabas pieminekļiem", savukārt dabas parka "Riežupe" teritorijā augošajiem kokiem aizsargājamā koka statuss noteikts atbilstoši Ministru kabineta 2010. gada 16. marta noteikumos Nr. 264 "Īpaši aizsargājamo dabas teritoriju vispārējie aizsardzības un izmantošanas noteikumi" noteiktajai kārtībai. Tādējādi noteikumu projekts neparedz jaunas aizsargājamās teritorijas izveidošanu.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 punktu atbilstoši likuma "Par īpaši aizsargājamām dabas teritorijām" 17. panta otrajā daļā noteiktajam pilnvarojumam Ministru kabinetam un noteikumu projekta saturam.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Noteikumu Nr. 108 100. pantam Ministru kabineta noteikumu projekta 1.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 Vēršam uzmanību, ka likuma "Par īpaši aizsargājamām dabas teritorijām" 17. panta otrā daļa paredz pilnvarojumu Ministru kabinetam reglamentēt individuālos aizsargājamo teritoriju aizsardzības un izmantošanas </w:t>
            </w:r>
            <w:r w:rsidR="00000000" w:rsidRPr="00000000" w:rsidDel="00000000">
              <w:rPr>
                <w:u w:val="single"/>
                <w:rtl w:val="0"/>
              </w:rPr>
              <w:t xml:space="preserve">noteikumus</w:t>
            </w:r>
            <w:r w:rsidR="00000000" w:rsidRPr="00000000" w:rsidDel="00000000">
              <w:rPr>
                <w:rtl w:val="0"/>
              </w:rPr>
              <w:t xml:space="preserve">. Papildus norādām, ka </w:t>
            </w:r>
            <w:r w:rsidR="00000000" w:rsidRPr="00000000" w:rsidDel="00000000">
              <w:rPr>
                <w:u w:val="single"/>
                <w:rtl w:val="0"/>
              </w:rPr>
              <w:t xml:space="preserve">noteikumu projekts neparedz dabas parkā esošu ģeoloģisko un ģeomorfoloģisko dabas pieminekļu – dižakmeņu – individuālos aizsardzības un izmantošanas noteikumus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dabas parka "Riežupe" (turpmāk – dabas parks) apzīmēšanai dabā lietojamās speciālās informatīvās zīmes paraugu, tās lietošanas un izveidošanas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individuālos dabas parka aizsardzības un izmantošanas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individuālos dabas parkā esošā ģeoloģiskā un ģeomorfoloģiskā dabas pieminekļa "Riežupes smilšu alas" aizsardzības un izmantošanas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1.4.individuālos dabas parkā esošo dabas pieminekļu – aizsargājamo koku – aizsardzības un izmantošanas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Dabas parks izveidots, lai nodrošinātu Riežupes ielejā sastopamo dabas un ainavisko vērtību aizsardzību. Dabas parka kvalificējošās vērtības ir Eiropas Savienības nozīmes aizsargājamie biotopi </w:t>
            </w:r>
            <w:r w:rsidR="00000000" w:rsidRPr="00000000" w:rsidDel="00000000">
              <w:rPr>
                <w:i w:val="1"/>
                <w:rtl w:val="0"/>
              </w:rPr>
              <w:t xml:space="preserve">Upju straujteces un dabiski upju posmi</w:t>
            </w:r>
            <w:r w:rsidR="00000000" w:rsidRPr="00000000" w:rsidDel="00000000">
              <w:rPr>
                <w:rtl w:val="0"/>
              </w:rPr>
              <w:t xml:space="preserve">, </w:t>
            </w:r>
            <w:r w:rsidR="00000000" w:rsidRPr="00000000" w:rsidDel="00000000">
              <w:rPr>
                <w:i w:val="1"/>
                <w:rtl w:val="0"/>
              </w:rPr>
              <w:t xml:space="preserve">Minerālvielām bagāti avoti un avoksnāji</w:t>
            </w:r>
            <w:r w:rsidR="00000000" w:rsidRPr="00000000" w:rsidDel="00000000">
              <w:rPr>
                <w:rtl w:val="0"/>
              </w:rPr>
              <w:t xml:space="preserve">,</w:t>
            </w:r>
            <w:r w:rsidR="00000000" w:rsidRPr="00000000" w:rsidDel="00000000">
              <w:rPr>
                <w:i w:val="1"/>
                <w:rtl w:val="0"/>
              </w:rPr>
              <w:t xml:space="preserve"> Avoti, kas izgulsnē avotkaļķus</w:t>
            </w:r>
            <w:r w:rsidR="00000000" w:rsidRPr="00000000" w:rsidDel="00000000">
              <w:rPr>
                <w:rtl w:val="0"/>
              </w:rPr>
              <w:t xml:space="preserve">, </w:t>
            </w:r>
            <w:r w:rsidR="00000000" w:rsidRPr="00000000" w:rsidDel="00000000">
              <w:rPr>
                <w:i w:val="1"/>
                <w:rtl w:val="0"/>
              </w:rPr>
              <w:t xml:space="preserve">Nogāžu</w:t>
            </w:r>
            <w:r w:rsidR="00000000" w:rsidRPr="00000000" w:rsidDel="00000000">
              <w:rPr>
                <w:i w:val="1"/>
                <w:rtl w:val="0"/>
              </w:rPr>
              <w:t xml:space="preserve"> un gravu meži</w:t>
            </w:r>
            <w:r w:rsidR="00000000" w:rsidRPr="00000000" w:rsidDel="00000000">
              <w:rPr>
                <w:rtl w:val="0"/>
              </w:rPr>
              <w:t xml:space="preserve">,</w:t>
            </w:r>
            <w:r w:rsidR="00000000" w:rsidRPr="00000000" w:rsidDel="00000000">
              <w:rPr>
                <w:i w:val="1"/>
                <w:rtl w:val="0"/>
              </w:rPr>
              <w:t xml:space="preserve"> Veci vai dabiski boreālie meži, Ozolu meži (ozolu, liepu un skābaržu meži), Aluviāli meži</w:t>
            </w:r>
            <w:r w:rsidR="00000000" w:rsidRPr="00000000" w:rsidDel="00000000">
              <w:rPr>
                <w:rtl w:val="0"/>
              </w:rPr>
              <w:t xml:space="preserve"> </w:t>
            </w:r>
            <w:r w:rsidR="00000000" w:rsidRPr="00000000" w:rsidDel="00000000">
              <w:rPr>
                <w:i w:val="1"/>
                <w:rtl w:val="0"/>
              </w:rPr>
              <w:t xml:space="preserve">(aluviāli krastmalu un palieņu meži)</w:t>
            </w:r>
            <w:r w:rsidR="00000000" w:rsidRPr="00000000" w:rsidDel="00000000">
              <w:rPr>
                <w:rtl w:val="0"/>
              </w:rPr>
              <w:t xml:space="preserve">, </w:t>
            </w:r>
            <w:r w:rsidR="00000000" w:rsidRPr="00000000" w:rsidDel="00000000">
              <w:rPr>
                <w:i w:val="1"/>
                <w:rtl w:val="0"/>
              </w:rPr>
              <w:t xml:space="preserve">Sausi zālāji kaļķainās augsnēs, Smilšakmens iežu atsegumi, Netraucētas alas,</w:t>
            </w:r>
            <w:r w:rsidR="00000000" w:rsidRPr="00000000" w:rsidDel="00000000">
              <w:rPr>
                <w:rtl w:val="0"/>
              </w:rPr>
              <w:t xml:space="preserve"> kā arī īpaši aizsargājamās sugas platgalve </w:t>
            </w:r>
            <w:r w:rsidR="00000000" w:rsidRPr="00000000" w:rsidDel="00000000">
              <w:rPr>
                <w:i w:val="1"/>
                <w:rtl w:val="0"/>
              </w:rPr>
              <w:t xml:space="preserve">Cottus gobio</w:t>
            </w:r>
            <w:r w:rsidR="00000000" w:rsidRPr="00000000" w:rsidDel="00000000">
              <w:rPr>
                <w:rtl w:val="0"/>
              </w:rPr>
              <w:t xml:space="preserve">, upes nēģis </w:t>
            </w:r>
            <w:r w:rsidR="00000000" w:rsidRPr="00000000" w:rsidDel="00000000">
              <w:rPr>
                <w:i w:val="1"/>
                <w:rtl w:val="0"/>
              </w:rPr>
              <w:t xml:space="preserve">Lampetra fluviatilis</w:t>
            </w:r>
            <w:r w:rsidR="00000000" w:rsidRPr="00000000" w:rsidDel="00000000">
              <w:rPr>
                <w:rtl w:val="0"/>
              </w:rPr>
              <w:t xml:space="preserve">, strauta nēģis </w:t>
            </w:r>
            <w:r w:rsidR="00000000" w:rsidRPr="00000000" w:rsidDel="00000000">
              <w:rPr>
                <w:i w:val="1"/>
                <w:rtl w:val="0"/>
              </w:rPr>
              <w:t xml:space="preserve">Lampetra planeri</w:t>
            </w:r>
            <w:r w:rsidR="00000000" w:rsidRPr="00000000" w:rsidDel="00000000">
              <w:rPr>
                <w:rtl w:val="0"/>
              </w:rPr>
              <w:t xml:space="preserve">, Eirāzijas ūdrs</w:t>
            </w:r>
            <w:r w:rsidR="00000000" w:rsidRPr="00000000" w:rsidDel="00000000">
              <w:rPr>
                <w:i w:val="1"/>
                <w:rtl w:val="0"/>
              </w:rPr>
              <w:t xml:space="preserve"> Lutra lutra</w:t>
            </w:r>
            <w:r w:rsidR="00000000" w:rsidRPr="00000000" w:rsidDel="00000000">
              <w:rPr>
                <w:rtl w:val="0"/>
              </w:rPr>
              <w:t xml:space="preserve">, biezā perlamutrene </w:t>
            </w:r>
            <w:r w:rsidR="00000000" w:rsidRPr="00000000" w:rsidDel="00000000">
              <w:rPr>
                <w:i w:val="1"/>
                <w:rtl w:val="0"/>
              </w:rPr>
              <w:t xml:space="preserve">Unio crassus</w:t>
            </w:r>
            <w:r w:rsidR="00000000" w:rsidRPr="00000000" w:rsidDel="00000000">
              <w:rPr>
                <w:rtl w:val="0"/>
              </w:rPr>
              <w:t xml:space="preserve">, kā arī dzeņveidīgie putni, apodziņš </w:t>
            </w:r>
            <w:r w:rsidR="00000000" w:rsidRPr="00000000" w:rsidDel="00000000">
              <w:rPr>
                <w:i w:val="1"/>
                <w:rtl w:val="0"/>
              </w:rPr>
              <w:t xml:space="preserve">Glaucidium passerinum</w:t>
            </w:r>
            <w:r w:rsidR="00000000" w:rsidRPr="00000000" w:rsidDel="00000000">
              <w:rPr>
                <w:rtl w:val="0"/>
              </w:rPr>
              <w:t xml:space="preserve"> un</w:t>
            </w:r>
            <w:r w:rsidR="00000000" w:rsidRPr="00000000" w:rsidDel="00000000">
              <w:rPr>
                <w:i w:val="1"/>
                <w:rtl w:val="0"/>
              </w:rPr>
              <w:t xml:space="preserve"> </w:t>
            </w:r>
            <w:r w:rsidR="00000000" w:rsidRPr="00000000" w:rsidDel="00000000">
              <w:rPr>
                <w:rtl w:val="0"/>
              </w:rPr>
              <w:t xml:space="preserve">astoņas sikspārņu sugas</w:t>
            </w:r>
            <w:r w:rsidR="00000000" w:rsidRPr="00000000" w:rsidDel="00000000">
              <w:rPr>
                <w:i w:val="1"/>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īpaši aizsargājamām dabas teritorijām" 17. panta otrā daļa paredz pilnvarojumu Ministru kabinetam noteikt individuālos aizsargājamo teritoriju aizsardzības un izmantošanas noteikumus. Šā panta pirmā daļa noteic, ka aizsargājamās teritorijas individuālie aizsardzības un izmantošanas noteikumi reglamentē </w:t>
            </w:r>
            <w:r w:rsidR="00000000" w:rsidRPr="00000000" w:rsidDel="00000000">
              <w:rPr>
                <w:u w:val="single"/>
                <w:rtl w:val="0"/>
              </w:rPr>
              <w:t xml:space="preserve">pieļaujamo un aizliegto darbību veidus šajā teritorijā, kā arī, ja nepieciešams, tās iedalījumu funkcionālajās zonās</w:t>
            </w:r>
            <w:r w:rsidR="00000000" w:rsidRPr="00000000" w:rsidDel="00000000">
              <w:rPr>
                <w:rtl w:val="0"/>
              </w:rPr>
              <w:t xml:space="preserve">, bet ne aizsargājamās teritorijas izveidošanas mērķi. Papildus vēršam uzmanību, ka dabas parka "Riežupe" izveidošanas mērķi jau noteic likuma "Par īpaši aizsargājamām dabas teritorijām" pielikuma 16.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Dabas parka platība ir 450,52 ha. Dabas parka funkcionālo zonu shēma noteikta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 punkta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108 3.1. apakšpunkts noteic, ka </w:t>
            </w:r>
            <w:r w:rsidR="00000000" w:rsidRPr="00000000" w:rsidDel="00000000">
              <w:rPr>
                <w:u w:val="single"/>
                <w:rtl w:val="0"/>
              </w:rPr>
              <w:t xml:space="preserve">normatīvā akta projektā neietver normas, kas ir deklaratīva</w:t>
            </w:r>
            <w:r w:rsidR="00000000" w:rsidRPr="00000000" w:rsidDel="00000000">
              <w:rPr>
                <w:rtl w:val="0"/>
              </w:rPr>
              <w:t xml:space="preserve">s. Paskaidrojam, ka par deklaratīvām normām atzīstami ne tikai tādi noteikumi, par kuriem jau iepriekš paredzams, ka tos nebūs iespējams īstenot praktisku, ekonomisku, politisku vai citu iemeslu dēļ, bet arī tādi, kuriem nav noteikts īstenošanas mehānisms vai kurus vispār nav paredzēts īstenot, jo tie satur tikai apgalvojumu, paziņojumu vai faktu konstatāciju. Šādas normas ir juridiski nevērtīgas, liekas un nepamatoti palielina normatīvā akta apjomu (</w:t>
            </w:r>
            <w:r w:rsidR="00000000" w:rsidRPr="00000000" w:rsidDel="00000000">
              <w:rPr>
                <w:i w:val="1"/>
                <w:rtl w:val="0"/>
              </w:rPr>
              <w:t xml:space="preserve">sk. Valsts kanceleja. Normatīvo aktu projektu izstrādes rokasgrāmata, 2023. Pieejama: https://tai.mk.gov.lv/get/book/pdf. 20.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lieguma robežas dabā apzīmē ar speciālu informatīvo zīmi. Speciālās informatīvās zīmes paraugs, tās lietošanas un izveidošanas kārtība noteikta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 punktu, aizstājot vārdu "lieguma" ar vārdu "parka" vai svītrot noteikumu projekta 4. punkta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2. panta trešā daļa noteic, ka aizsargājamās teritorijas iedala šādās kategorijās: dabas rezervāti, nacionālie parki, biosfēras rezervāti, dabas parki, dabas pieminekļi, dabas liegumi, aizsargājamās jūras teritorijas un aizsargājamo ainavu apvidi. Dabas parkam "Riežupe" atbilstoši Noteikumu Nr. 83 1.9. apakšpunktam noteikts dabas parka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likuma "Par īpaši aizsargājamām teritorijām" 14. panta otrā daļa jau noteic, ka aizsargājamo teritoriju apzīmēšanai dabā lieto speciālas informatīvas zīmes, tādējādi atkārtoti to norādīt noteikumu projektā nav nepieciešams. Informējam, ka atbilstoši Noteikumu Nr. 108 3.2. apakšpunktam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Speciālās informatīvās zīmes dabas parka apzīmēšanai dabā paraugu, tās lietošanas un izveidošanas kārtību noteic šo noteikumu 2.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Dabas aizsardzības pārvalde nosaka ierobežotas pieejamības statusu informācijai par dabas parkā esošo Eiropas Savienības nozīmes un Latvijas īpaši aizsargājamo biotopu (turpmāk – biotopi) un Eiropas Savienības nozīmes un Latvijas īpaši aizsargājamo sugu (turpmāk – sugas) dzīvotņu atrašanās vietu, ja tās atklāšana var kaitēt dabas aizsardzībai. Šādu informāciju izplata tikai ar Dabas aizsardzības pārvaldes rakstveida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kārtību, kādā Dabas aizsardzības pārvalde (turpmāk – pārvalde) izsniedz noteikumu projektā minētās rakstveida atļaujas (turpmāk – atļauja) vai papildināt noteikumu projekta anotāciju ar atsauci uz normatīvajiem aktiem, kas noteic attiecīgās atļaujas izsniegšanas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Dabas aizsardzības pārvalde, izvērtējot dabas parka teritorijā paredzētās darbības, kā arī izsniedzot rakstveida atļauju šajos noteikumos minētajām darbībām, izmanto dabas aizsardzības plānā iekļauto informāciju un jaunāko pieejamo informāciju par īpaši aizsargājamām sugām un īpaši aizsargājamiem biotopiem, tai skaitā Eiropas Savienības nozīmes biotopiem, dabas parka teritorijā un izvērtē paredzētās darbības ietekmi uz dabas parku, īpaši aizsargājamām sugām un biotopiem, kā arī uz dabas parka kā Eiropas nozīmes aizsargājamas dabas teritorijas (</w:t>
            </w:r>
            <w:r w:rsidR="00000000" w:rsidRPr="00000000" w:rsidDel="00000000">
              <w:rPr>
                <w:i w:val="1"/>
                <w:rtl w:val="0"/>
              </w:rPr>
              <w:t xml:space="preserve">Natura 2000</w:t>
            </w:r>
            <w:r w:rsidR="00000000" w:rsidRPr="00000000" w:rsidDel="00000000">
              <w:rPr>
                <w:rtl w:val="0"/>
              </w:rPr>
              <w:t xml:space="preserve">) izveides un aizsardzības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projekts paredz pārvaldes rakstveida atļaujas izsniegšanu dažādu darbību veikšanai, lūdzam noteikumu projekta 7. punktā konkretizēt, uz kādām darbībām attiecināms šajā punktā noteiktais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Dabas aizsardzības pārvalde, izvērtējot dabas parka teritorijā paredzētās darbības, kā arī izsniedzot rakstveida atļauju šajos noteikumos minētajām darbībām, izmanto dabas aizsardzības plānā iekļauto informāciju un jaunāko pieejamo informāciju par īpaši aizsargājamām sugām un īpaši aizsargājamiem biotopiem, tai skaitā Eiropas Savienības nozīmes biotopiem, dabas parka teritorijā un izvērtē paredzētās darbības ietekmi uz dabas parku, īpaši aizsargājamām sugām un biotopiem, kā arī uz dabas parka kā Eiropas nozīmes aizsargājamas dabas teritorijas (</w:t>
            </w:r>
            <w:r w:rsidR="00000000" w:rsidRPr="00000000" w:rsidDel="00000000">
              <w:rPr>
                <w:i w:val="1"/>
                <w:rtl w:val="0"/>
              </w:rPr>
              <w:t xml:space="preserve">Natura 2000</w:t>
            </w:r>
            <w:r w:rsidR="00000000" w:rsidRPr="00000000" w:rsidDel="00000000">
              <w:rPr>
                <w:rtl w:val="0"/>
              </w:rPr>
              <w:t xml:space="preserve">) izveides un aizsardzības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ievērojot noteikumu projekta 6. punktā pieteikto vārdkopas "Eiropas Savienības nozīmes un Latvijas īpaši aizsargājamās sugas" saīsinājumu "sugas" un vārdkopas "Eiropas Savienības nozīmes un Latvijas īpaši aizsargājamie biotopi" saīsinājumu "biotopi" (</w:t>
            </w:r>
            <w:r w:rsidR="00000000" w:rsidRPr="00000000" w:rsidDel="00000000">
              <w:rPr>
                <w:i w:val="1"/>
                <w:rtl w:val="0"/>
              </w:rPr>
              <w:t xml:space="preserve">sk. noteikumu projekta 7. punktu, 14.7. apakšpunktu u.c.</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Šajos noteikumos noteiktā Dabas aizsardzības pārvaldes rakstveida atļauja nav nepieciešama, ja saskaņā ar meža apsaimniekošanu regulējošiem normatīvajiem aktiem Valsts meža dienests izsniedz koku ciršanas apliecinājumu. Gadījumā, ja atbilstoši šiem noteikumiem nepieciešama Dabas aizsardzības pārvaldes rakstveida atļauja, Valsts meža dienests apliecinājumu izsniedz pēc Dabas aizsardzības pārvaldes pozitīva atzinuma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 un 40. punktā ietverto atsauci uz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kārtību, kādā tiek veikta koku ciršana mežā, tostarp  kārtību, kādā izsniedzams apliecinājums koku ciršanai (turpmāk - apliecinājums), noteic Ministru kabineta 2012. gada 18. decembra noteikumi Nr. 935 "Noteikumi par koku ciršanu mežā" (turpmāk – Noteikumi Nr. 935).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uz tādiem valsts nozīmes infrastruktūras objektiem, kuru būvniecībai vai pārbūvei atbilstoši normatīvajos aktos noteiktajai kārtībai par ietekmes uz vidi novērtējumu atbildīgā iestāde ir sniegusi atzinumu par ietekmes novērtējuma ziņojumu un atzinumā iekļāvusi nosacījumus, ar kādiem paredzētā darbība var būt īstenojama (ievērojot Dabas aizsardzības pārvaldes norādītos pasākumus sugu un biotopu aizsardzībai).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10.2. apakšpunktu vai papildināt noteikumu projekta anotācijas 1.3. sadaļu ar informāciju, kas konkretizē, kur (kādā dokumentā vai tiesību aktā) norādīti šajā apakšpunktā minētie pārvaldes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Dabas parka teritorijā atļauta autoceļu, elektrisko tīklu, gāzesvadu un citu komunikāciju un infrastruktūras objektu uzturēšana, kā arī atjaunošana. Dabisko brauktuvju uzturēšana ir pieļaujama to dabā esošajā brauktuves novietojumā un platumā.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projektu ar termina "dabiska brauktuve" skaidrojumu atbilstoši Noteikumu Nr. 108 3.4. nodaļā noteiktajam, vienlaikus svītrojot noteikumu projekta 14.2. apakšpunktā vārdus "tai skaitā automašīnām, traktortehniku, motocikliem, tricikliem, kvadricikliem, mopēdiem un sniega motocikliem".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1. panta pirmās daļas 9. punkts noteic, ka dabiska brauktuve ir ne vairāk kā četrus metrus plata neizbūvēta brauktuve </w:t>
            </w:r>
            <w:r w:rsidR="00000000" w:rsidRPr="00000000" w:rsidDel="00000000">
              <w:rPr>
                <w:u w:val="single"/>
                <w:rtl w:val="0"/>
              </w:rPr>
              <w:t xml:space="preserve">meža apsaimniekošanas un aizsardzības vajadzībām</w:t>
            </w:r>
            <w:r w:rsidR="00000000" w:rsidRPr="00000000" w:rsidDel="00000000">
              <w:rPr>
                <w:rtl w:val="0"/>
              </w:rPr>
              <w:t xml:space="preserve">. No noteikumu projekta 14.2. apakšpunkta secināms, ka noteikumu projektā terminu "dabiska brauktuve" attiecina arī uz tādām minētā platuma neizbūvētām brauktuvēm, kuras izmanto </w:t>
            </w:r>
            <w:r w:rsidR="00000000" w:rsidRPr="00000000" w:rsidDel="00000000">
              <w:rPr>
                <w:u w:val="single"/>
                <w:rtl w:val="0"/>
              </w:rPr>
              <w:t xml:space="preserve">lauksaimniecības zemes apsaimniekošanas un aizsardzības vajadzībām un valsts aizsardzības uzdevumu veikšanai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termins "dabiska brauktuve" noteikumu projektā lietots vairākkārt, ērtākai noteikumu projekta lietošanai un tajā noteiktā regulējuma piemērošanai rosinām šo terminu skaidrot atsevišķi, nevis noteikumu projekta 14.2. apakšpunkta iekavās. Informējam, ka atbilstoši Noteikumu Nr. 108 123. punktam terminu skaidrojumu ietver Ministru kabineta noteikumu projekta 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ierīkot nometnes, atpūtas vietas un celt teltis ārpus speciāli norādītām vietām;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13.1. un 23.4. apakšpunktu atbilstoši iecerētajam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 apakšpunkts noteic vispārēju aizliegumu dabas parka teritorijā (tātad arī dabas lieguma zonā) ierīkot nometnes un celt teltis ārpus speciāli norādītām vietām </w:t>
            </w:r>
            <w:r w:rsidR="00000000" w:rsidRPr="00000000" w:rsidDel="00000000">
              <w:rPr>
                <w:u w:val="single"/>
                <w:rtl w:val="0"/>
              </w:rPr>
              <w:t xml:space="preserve">bez saskaņojuma ar zemes īpašnieku vai tiesisko valdītāju</w:t>
            </w:r>
            <w:r w:rsidR="00000000" w:rsidRPr="00000000" w:rsidDel="00000000">
              <w:rPr>
                <w:rtl w:val="0"/>
              </w:rPr>
              <w:t xml:space="preserve">. Vienlaikus noteikumu projekta 23.4. apakšpunkts paredz, ka abas minētās darbības </w:t>
            </w:r>
            <w:r w:rsidR="00000000" w:rsidRPr="00000000" w:rsidDel="00000000">
              <w:rPr>
                <w:u w:val="single"/>
                <w:rtl w:val="0"/>
              </w:rPr>
              <w:t xml:space="preserve">dabas lieguma zonā ir aizliegtas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19. panta pirmā daļa paredz, ka funkcionālajām zonām tiek noteikti atšķirīgi aizsardzības un izmantošanas noteikumi, vienlaikus vēršam uzmanību, ka tie nevar būt savstarpēji pretrunīgi. Ja ar noteikumu projektu paredzēts noteikt, ka ierīkot nometnes, atpūtas vietas un celt teltis ārpus speciāli norādītām vietām atļauts </w:t>
            </w:r>
            <w:r w:rsidR="00000000" w:rsidRPr="00000000" w:rsidDel="00000000">
              <w:rPr>
                <w:u w:val="single"/>
                <w:rtl w:val="0"/>
              </w:rPr>
              <w:t xml:space="preserve">tikai ar zemes īpašnieka vai tiesiskā valdītāja saskaņojumu un tikai dabas parka zonā</w:t>
            </w:r>
            <w:r w:rsidR="00000000" w:rsidRPr="00000000" w:rsidDel="00000000">
              <w:rPr>
                <w:rtl w:val="0"/>
              </w:rPr>
              <w:t xml:space="preserve">, šāds regulējums būtu ietverams dabas parka zonas aizsardzības un izmantošanas noteikumos, nevis vispārējos dabas parka aizsardzības un izmantošanas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kurināt ugunskurus ārpus speciāli ierīkotām vietām, kuras nodrošina uguns tālāku neizplatīšanos, izņemot ugunskurus pagalmos un ugunskurus ciršanas atlieku sadedzināšanai atbilstoši meža apsaimniekošanu regulējošiem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13.2. apakšpunktā ietverto atsauci uz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meža ugunsdrošības noteikumus noteic Ministru kabineta 2016. gada 19. aprīļa noteikumi Nr. 238 "Ugunsdrošības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kurināt ugunskurus ārpus speciāli ierīkotām vietām, kuras nodrošina uguns tālāku neizplatīšanos, izņemot ugunskurus pagalmos un ugunskurus ciršanas atlieku sadedzināšanai atbilstoši meža apsaimniekošanu regulējošiem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13.2. un 14.26. apakšpunktu atbilstoši iecerētajam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14.26. apakšpunkts paredz </w:t>
            </w:r>
            <w:r w:rsidR="00000000" w:rsidRPr="00000000" w:rsidDel="00000000">
              <w:rPr>
                <w:u w:val="single"/>
                <w:rtl w:val="0"/>
              </w:rPr>
              <w:t xml:space="preserve">aizliegumu</w:t>
            </w:r>
            <w:r w:rsidR="00000000" w:rsidRPr="00000000" w:rsidDel="00000000">
              <w:rPr>
                <w:rtl w:val="0"/>
              </w:rPr>
              <w:t xml:space="preserve"> dabas parka teritorijā kurināt ugunskurus ārpus speciāli ierīkotām vietām, kuras nodrošina uguns tālāku neizplatīšanos, izņemot ugunskurus pagalmos un ugunskurus ciršanas atlieku sadedzināšanai. Vienlaikus noteikumu projekta 13.2. apakšpunkts noteic, ka šīs darbības ir pieļaujamas, </w:t>
            </w:r>
            <w:r w:rsidR="00000000" w:rsidRPr="00000000" w:rsidDel="00000000">
              <w:rPr>
                <w:u w:val="single"/>
                <w:rtl w:val="0"/>
              </w:rPr>
              <w:t xml:space="preserve">ja tas ir saskaņots ar zemes īpašnieku vai tiesisko valdītāju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pārvietoties (arī apstāties un stāvēt) ar mehāniskajiem transportlīdzekļiem, tai skaitā automašīnām, traktortehniku, motocikliem, tricikliem, kvadricikliem, mopēdiem un sniega motocikliem, brīvā dabā ārpus ceļiem un dabiskām brauktuvēm (ne vairāk kā četrus metrus plata neizbūvēta brauktuve meža vai lauksaimniecības zemes apsaimniekošanas un aizsardzības vajadzībām un valsts aizsardzības uzdevumu veikšanai), izņemot pārvietošanos pa neitrālo zonu, pārvietošanos ar velosipēdiem, pārvietošanos normatīvajos aktos noteiktajā kārtībā ierīkotās trasēs un gadījumos, ja pārvietošanās ir saistīta ar šo teritoriju (tai skaitā medību saimniecību) apsaimniekošanu, uzraudzību, valsts aizsardzības uzdevumu veikšanu, sabiedriskās kārtības un drošības nodrošināšanu, ugunsdrošības pasākumu veikšanu, kā arī pārvietošanos ar Dabas aizsardzības pārvaldes rakstveida atļauju zinātnisko pētījumu veikšanai. Mehāniskos transportlīdzekļus apstādina un novieto stāvēšanai tā, lai tie neierobežotu un netraucētu citu transportlīdzekļu pārvietošanos pa ceļiem un dabiskām brauktuvēm;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14.2. apakšpunktā vārdus "tai skaitā automašīnām, traktortehniku, motocikliem, tricikliem, kvadricikliem, mopēdiem un sniega motocikliem".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Ceļu satiksmes likuma 1. panta 11. punkts jau noteic, ka mehāniskais transportlīdzeklis ir pašgājējs transportlīdzeklis, kas pārvietojas pa ceļu ar savu enerģiju (tai skaitā traktortehnika un trolejbuss), izņemot sliežu transportlīdzekļus, elektrovelosipēdus, pašgājējus velosipēdus un elektroskrejriteņus. Šajā likumā sniegts arī izvērstāks mehānisko transportlīdzekļu uzskaitījums. Informējam, ka atbilstoši Noteikumu Nr. 108 3.2. apakšpunktam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pārvietoties (arī apstāties un stāvēt) ar mehāniskajiem transportlīdzekļiem, tai skaitā automašīnām, traktortehniku, motocikliem, tricikliem, kvadricikliem, mopēdiem un sniega motocikliem, brīvā dabā ārpus ceļiem un dabiskām brauktuvēm (ne vairāk kā četrus metrus plata neizbūvēta brauktuve meža vai lauksaimniecības zemes apsaimniekošanas un aizsardzības vajadzībām un valsts aizsardzības uzdevumu veikšanai), izņemot pārvietošanos pa neitrālo zonu, pārvietošanos ar velosipēdiem, pārvietošanos normatīvajos aktos noteiktajā kārtībā ierīkotās trasēs un gadījumos, ja pārvietošanās ir saistīta ar šo teritoriju (tai skaitā medību saimniecību) apsaimniekošanu, uzraudzību, valsts aizsardzības uzdevumu veikšanu, sabiedriskās kārtības un drošības nodrošināšanu, ugunsdrošības pasākumu veikšanu, kā arī pārvietošanos ar Dabas aizsardzības pārvaldes rakstveida atļauju zinātnisko pētījumu veikšanai. Mehāniskos transportlīdzekļus apstādina un novieto stāvēšanai tā, lai tie neierobežotu un netraucētu citu transportlīdzekļu pārvietošanos pa ceļiem un dabiskām brauktuvēm;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14.2. apakšpunktu ar atsauci uz normatīvajiem aktiem, kas noteic tajā minēto trašu ierīkošanas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pārvietoties (arī apstāties un stāvēt) ar mehāniskajiem transportlīdzekļiem, tai skaitā automašīnām, traktortehniku, motocikliem, tricikliem, kvadricikliem, mopēdiem un sniega motocikliem, brīvā dabā ārpus ceļiem un dabiskām brauktuvēm (ne vairāk kā četrus metrus plata neizbūvēta brauktuve meža vai lauksaimniecības zemes apsaimniekošanas un aizsardzības vajadzībām un valsts aizsardzības uzdevumu veikšanai), izņemot pārvietošanos pa neitrālo zonu, pārvietošanos ar velosipēdiem, pārvietošanos normatīvajos aktos noteiktajā kārtībā ierīkotās trasēs un gadījumos, ja pārvietošanās ir saistīta ar šo teritoriju (tai skaitā medību saimniecību) apsaimniekošanu, uzraudzību, valsts aizsardzības uzdevumu veikšanu, sabiedriskās kārtības un drošības nodrošināšanu, ugunsdrošības pasākumu veikšanu, kā arī pārvietošanos ar Dabas aizsardzības pārvaldes rakstveida atļauju zinātnisko pētījumu veikšanai. Mehāniskos transportlīdzekļus apstādina un novieto stāvēšanai tā, lai tie neierobežotu un netraucētu citu transportlīdzekļu pārvietošanos pa ceļiem un dabiskām brauktuvēm;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14.2. apakšpunkta pēdējo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14.2. apakšpunkta pēdējais teikums noteic pienākumu mehāniskos transportlīdzekļus apstādināt un novietot stāvēšanai tā, lai tie neierobežotu un netraucētu citu transportlīdzekļu pārvietošanos pa ceļiem un dabiskām brauktuvēm. Vēršam uzmanību, ka no Ministru kabineta 2015. gada 2. jūnija noteikumu Nr. 279 "Ceļu satiksmes noteikumi" (turpmāk – Noteikumi Nr. 279) 11. nodaļas jau izriet vispārējs transportlīdzekļu, tostarp mehānisko transportlīdzekļu, apstāšanās un stāvēšanas aizliegums vietās, kurās tas ierobežo vai traucē citu transportlīdzekļu pārvietošanos. Informējam, ka atbilstoši Noteikumu Nr. 108 3.2. apakšpunktam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pārvietoties ar zirgiem, zirgu pajūgiem un velosipēdiem brīvā dabā ārpus ceļiem un dabiskām brauktuvēm, izņemot gadījumus, ja pārvietošanās notiek pa maršrutiem (atbilstoši maršruta izveidošanas mērķim), kuru izveidošanai ir saņemta Dabas aizsardzības pārvaldes rakstveida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14.4. apakšpunktu atbilstoši iecerētajam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nav samērīgi no personas prasīt, lai tā pirms pārvietošanās ar zirgu, zirgu pajūgu vai velosipēdu pa dabas parka teritorijā izveidotu maršrutu pārliecinātos, vai tā izveidošanai tika saņemta pārvaldes rakstveida atļauja.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14.13. uzstādīt vēja elektrostacijas, kuru augstākais punkts pārsniedz 30 metru augstumu (izņemot vēja elektrostacijas līdz 30 metru augstumam pašpatēriņam atbilstoši spēkā esošajiem normatīvajiem aktiem, kas regulē vēja elektrostaciju uzstādīšanas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14.13.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 "Par ietekmes uz vidi novērtējumu" 2. pielikuma 3. punkta 8. apakšpunkta d) apakšpunktam vēja elektrostacijas, kuras augstums pārsniedz 30 metrus, būvniecība aizsargājamā dabas teritorijā vai tuvāk nekā 1 kilometra attālumā no aizsargājamās dabas teritorijas ir pieļaujama, ja tā tiek veikta šajā likumā noteiktajā kārtībā. Paskaidrojam, ka, ievērojot normatīvo aktu hierarhiju, nav pieļaujams noteikumu projektā noteikt citu, no likuma atšķirīgu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14.23. dabiskās un mākslīgi veidotās dolomīta un smilšakmens alās (izņemot pagrabalas, kuras tiek saimnieciski izmantotas) kurināt ugunskurus un ienest jebkādus degošus priekšmetus, tai skaitā sveces, lāpas, cigaretes, kas rada dūmus vai siltumu;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noteikumu projekta 14.23. un 43.2.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14.23. apakšpunkts paredz aizliegumu </w:t>
            </w:r>
            <w:r w:rsidR="00000000" w:rsidRPr="00000000" w:rsidDel="00000000">
              <w:rPr>
                <w:u w:val="single"/>
                <w:rtl w:val="0"/>
              </w:rPr>
              <w:t xml:space="preserve">visās</w:t>
            </w:r>
            <w:r w:rsidR="00000000" w:rsidRPr="00000000" w:rsidDel="00000000">
              <w:rPr>
                <w:rtl w:val="0"/>
              </w:rPr>
              <w:t xml:space="preserve"> dabas parka teritorijā esošajās dabiskajās un mākslīgi veidotajās dolomīta un smilšakmens alās (tātad – arī Riežupes smilšu alās) kurināt ugunskurus un ienest jebkādu degošus priekšmetus, kas rada dūmus vai siltumu. Vienlaikus noteikumu projekta 43.2. apakšpunkts paredz šādu pašu aizliegumu Riežupes smilšu alās. Informējam, ka atbilstoši Noteikumu Nr. 108 3.3. apakšpunktam normatīvā akta projektā neietver normas, kas dublē pašā normatīvā akta projektā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14.24. rakstīt, zīmēt un gravēt uz iežu atsegumiem (arī uz alu sienām), kā arī tos mehāniski bojāt;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iespēju apvienot noteikumu projekta 14.24. un 43.1.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14.24. apakšpunkts paredz aizliegumu </w:t>
            </w:r>
            <w:r w:rsidR="00000000" w:rsidRPr="00000000" w:rsidDel="00000000">
              <w:rPr>
                <w:u w:val="single"/>
                <w:rtl w:val="0"/>
              </w:rPr>
              <w:t xml:space="preserve">dabas parka teritorijā</w:t>
            </w:r>
            <w:r w:rsidR="00000000" w:rsidRPr="00000000" w:rsidDel="00000000">
              <w:rPr>
                <w:rtl w:val="0"/>
              </w:rPr>
              <w:t xml:space="preserve"> rakstīt, zīmēt un gravēt uz iežu atsegumiem (arī uz alu sienām), kā arī tos mehāniski bojāt. Tādējādi noteikumu projekta 14.24. apakšpunkts attiecināms arī uz Riežupes smilšu alām. Vienlaikus noteikumu projekta 43.1. apakšpunkts paredz aizliegumu rakstīt, zīmēt un gravēt uz Riežupes smilšu alām un pārvietot tās daļas. Informējam, ka atbilstoši Noteikumu Nr. 108 3.3. apakšpunktam normatīvā akta projektā neietver normas, kas dublē pašā normatīvā akta projektā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14.30. veikt mežsaimniecisko darbību, tai skaitā kokmeteriāu izvešanu no cirsmām (pievešanu pie ceļiem), no 1.marta līdz 15.septembrim,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iespēju apvienot noteikumu projekta 14.30. apakšpunktā un 16.2. apakšpunktā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14.30. apakšpunkts noteic aizliegumu dabas parka teritorijā veikt mežsaimniecisko darbību, nosakot izņēmumus uz kuriem šis aizliegums neattiecas. Minētais aizliegums attiecināms arī uz meža zemēm un īpaši aizsargājamo sugu dzīvotnēm un īpaši aizsargājamiem biotopiem. Vienlaikus noteikumu projekta 16.2. apakšpunkts noteic aizliegumu veikt mežsaimniecisko darbību </w:t>
            </w:r>
            <w:r w:rsidR="00000000" w:rsidRPr="00000000" w:rsidDel="00000000">
              <w:rPr>
                <w:u w:val="single"/>
                <w:rtl w:val="0"/>
              </w:rPr>
              <w:t xml:space="preserve">dabas parka teritorijas meža zemēs un šajās zemēs esošajās īpaši aizsargājamo sugu dzīvotnēs un īpaši aizsargājamos biotopos</w:t>
            </w:r>
            <w:r w:rsidR="00000000" w:rsidRPr="00000000" w:rsidDel="00000000">
              <w:rPr>
                <w:rtl w:val="0"/>
              </w:rPr>
              <w:t xml:space="preserve">. Šim aizliegumam noteikti izņēmumi, kas daļēji pārklājas ar noteikumu projekta 14.30. apakšpunktā noteiktajiem izņēmumiem. Informējam, ka atbilstoši Noteikumu Nr. 108 3.3. apakšpunktam normatīvā akta projektā neraksta normas, kas dublē pašā normatīvā akta projektā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Dabas parka teritorijā mežaudzēs uz hektāru saglabā ne mazāk kā 20 kubikmetru sausu stāvošu koku, svaigi vēja gāztu koku un kritalu, kuru diametrs resnākajā vietā pārsniedz 25 centimetrus, ja tādi ir mežaudzē. Ja to kopējais apjoms ir lielāks, vispirms saglabā resnākos kokus. Pieļaujams izvākt svaigi vēja gāztas egles, kuru apjoms pārsniedz piecus kubikmetrus uz hektāru, ja koku neizvākšana var izraisīt mežaudžu bojāeju masveidīgas kaitēkļu savairošanās dēļ un ir saņemts Valsts meža dienesta sanitārais atzinums, kurā noteikts konkrēts apjoms šo koku izvākšanai, pēc Dabas aizsardzības pārvaldes pozitīva atzinuma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iespēju apvienot noteikumu projekta 17. punkta pēdējā teikumā un 26. punktā noteikto regulējumu. Vienlaikus lūdzam precizēt noteikumu projekta 18. punktā ietverto atsauci uz noteikumu projekta 17. punktu,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punkta otrais teikums paredz, ka </w:t>
            </w:r>
            <w:r w:rsidR="00000000" w:rsidRPr="00000000" w:rsidDel="00000000">
              <w:rPr>
                <w:u w:val="single"/>
                <w:rtl w:val="0"/>
              </w:rPr>
              <w:t xml:space="preserve">dabas parka teritorijā</w:t>
            </w:r>
            <w:r w:rsidR="00000000" w:rsidRPr="00000000" w:rsidDel="00000000">
              <w:rPr>
                <w:rtl w:val="0"/>
              </w:rPr>
              <w:t xml:space="preserve"> (tātad arī dabas lieguma zonā) ir atļauts izvākt svaigi vēja gāztas egles, kuru apjoms pārsniedz piecus kubikmetrus uz hektāru, ja koku neizvākšana var izraisīt mežaudžu bojāeju masveidīgas kaitēkļu savairošanās dēļ un ir saņemts Valsts meža dienesta (turpmāk - dienests) sanitārais atzinums, kurā noteikts konkrēts apjoms šo koku izvākšanai, pēc pārvaldes pozitīva atzinuma saņemšanas. Šādu pašu kārtību attiecībā uz visiem kokiem (nevis tikai eglēm) </w:t>
            </w:r>
            <w:r w:rsidR="00000000" w:rsidRPr="00000000" w:rsidDel="00000000">
              <w:rPr>
                <w:u w:val="single"/>
                <w:rtl w:val="0"/>
              </w:rPr>
              <w:t xml:space="preserve">dabas lieguma zonā</w:t>
            </w:r>
            <w:r w:rsidR="00000000" w:rsidRPr="00000000" w:rsidDel="00000000">
              <w:rPr>
                <w:rtl w:val="0"/>
              </w:rPr>
              <w:t xml:space="preserve"> noteic noteikumu projekta 26. punkts, papildinot, ka, veicot cirti, saglabā visus augtspējīgos kokus. Informējam, ka atbilstoši Noteikumu Nr. 108 3.3. apakšpunktam normatīvā akta projektā neietver normas, kas dublē pašā normatīvā akta projektā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Lai dabas parkā saglabātu vērtīgus ainavas elementus un mazā ērgļa sēdkokus, lauksaimniecībā izmantojamās zemēs aizliegts cirst platlapju sugu kokus, kuru caurmērs 1,3 m augstumā virs koka sakņu kakla pārsniedz 25 cm, un citu sugu kokus, kuru caurmērs 1,3 m augstumā virs koka sakņu kakla pārsniedz 40 cm, izņemot bīstamo koku ciršanu un novākšanu.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20. punktu, nosakot, ka, lai dabas parkā saglabātu vērtīgus ainavas elementus un mazā ērgļa sēdkokus, lauksaimniecībā izmantojamās zemēs aizliegts cirst platlapju sugu kokus, kuru caurmērs 1,3 m augstumā virs koka sakņu kakla pārsniedz 25 cm, un citu sugu kokus, kuru caurmērs 1,3 m augstumā virs koka sakņu kakla pārsniedz 40 cm, izņemot </w:t>
            </w:r>
            <w:r w:rsidR="00000000" w:rsidRPr="00000000" w:rsidDel="00000000">
              <w:rPr>
                <w:u w:val="single"/>
                <w:rtl w:val="0"/>
              </w:rPr>
              <w:t xml:space="preserve">bīstamos kokus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Dabas terka teritorijā galvenajā un kopšanas cirtē uz cirsmas hektāru saglabā vismaz 15 dzīvotspējīgus vecākos un lielāko izmēru kokus (ekoloģiskos kokus), vispirms saglabājot resnākos (koku caurmērs lielāks par valdošās koku sugas koku vidējo caurmēru) ozolus, liepas, priedes, ošus, gobas, vīksnas, melnalkšņus un kļavas. Ja šādu koku mežaudzē nav, vispirms saglabā apses un bērzus, kā arī kokus ar lieliem un resniem zariem, dobumainus kokus un kokus ar deguma rētām.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 punktu un 24.1. apakšpunktu atbilstoši iecerētajam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21. punkta izriet, ka </w:t>
            </w:r>
            <w:r w:rsidR="00000000" w:rsidRPr="00000000" w:rsidDel="00000000">
              <w:rPr>
                <w:u w:val="single"/>
                <w:rtl w:val="0"/>
              </w:rPr>
              <w:t xml:space="preserve">dabas parka teritorijā</w:t>
            </w:r>
            <w:r w:rsidR="00000000" w:rsidRPr="00000000" w:rsidDel="00000000">
              <w:rPr>
                <w:rtl w:val="0"/>
              </w:rPr>
              <w:t xml:space="preserve"> (tātad arī dabas lieguma zonā) </w:t>
            </w:r>
            <w:r w:rsidR="00000000" w:rsidRPr="00000000" w:rsidDel="00000000">
              <w:rPr>
                <w:u w:val="single"/>
                <w:rtl w:val="0"/>
              </w:rPr>
              <w:t xml:space="preserve">noteiktos gadījumos pieļaujama</w:t>
            </w:r>
            <w:r w:rsidR="00000000" w:rsidRPr="00000000" w:rsidDel="00000000">
              <w:rPr>
                <w:rtl w:val="0"/>
              </w:rPr>
              <w:t xml:space="preserve"> koku ciršana galvenajā cirtē. Vienlaikus noteikumu projekta 24.1. apakšpunkts noteic aizliegumu dabas lieguma zonā cirst kokus galvenajā cirtē.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19. panta pirmā daļa paredz, ka funkcionālajām zonām tiek noteikti atšķirīgi aizsardzības un izmantošanas noteikumi, vienlaikus vēršam uzmanību, ka tie nevar būt savstarpēji pretrunīgi. Ja ar noteikumu projektu paredzēts noteikt, ka koku ciršana galvenajā cirtē pieļaujama tika dabas parka zonā, šāds regulējums būtu ietverams dabas parka zonas aizsardzības un izmantošanas noteikumos, nevis vispārējos dabas parka aizsardzības un izmantošanas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Dabas terka teritorijā galvenajā un kopšanas cirtē uz cirsmas hektāru saglabā vismaz 15 dzīvotspējīgus vecākos un lielāko izmēru kokus (ekoloģiskos kokus), vispirms saglabājot resnākos (koku caurmērs lielāks par valdošās koku sugas koku vidējo caurmēru) ozolus, liepas, priedes, ošus, gobas, vīksnas, melnalkšņus un kļavas. Ja šādu koku mežaudzē nav, vispirms saglabā apses un bērzus, kā arī kokus ar lieliem un resniem zariem, dobumainus kokus un kokus ar deguma rētām.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 25. un 32. punktu, nepieciešamības gadījumā tos apvienojot.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punkts noteic, ka </w:t>
            </w:r>
            <w:r w:rsidR="00000000" w:rsidRPr="00000000" w:rsidDel="00000000">
              <w:rPr>
                <w:u w:val="single"/>
                <w:rtl w:val="0"/>
              </w:rPr>
              <w:t xml:space="preserve">dabas parka teritorijā</w:t>
            </w:r>
            <w:r w:rsidR="00000000" w:rsidRPr="00000000" w:rsidDel="00000000">
              <w:rPr>
                <w:rtl w:val="0"/>
              </w:rPr>
              <w:t xml:space="preserve"> (tātad arī dabas lieguma un dabas parka zonā) </w:t>
            </w:r>
            <w:r w:rsidR="00000000" w:rsidRPr="00000000" w:rsidDel="00000000">
              <w:rPr>
                <w:u w:val="single"/>
                <w:rtl w:val="0"/>
              </w:rPr>
              <w:t xml:space="preserve">kopšanas cirtē uz cirsmas hektāru saglabā vismaz 15 dzīvotspējīgus vecākos un lielāko izmēru kokus</w:t>
            </w:r>
            <w:r w:rsidR="00000000" w:rsidRPr="00000000" w:rsidDel="00000000">
              <w:rPr>
                <w:rtl w:val="0"/>
              </w:rPr>
              <w:t xml:space="preserve"> (ekoloģiskos kokus), vispirms saglabājot resnākos (koku caurmērs lielāks par valdošās koku sugas koku vidējo caurmēru) ozolus, liepas, priedes, ošus, gobas, vīksnas, melnalkšņus un kļavas. Ja šādu koku mežaudzē nav, vispirms saglabā apses un bērzus, kā arī kokus ar lieliem un resniem zariem, dobumainus kokus un kokus ar deguma rētām. Noteikumu projekta 25. punkts noteic, ka </w:t>
            </w:r>
            <w:r w:rsidR="00000000" w:rsidRPr="00000000" w:rsidDel="00000000">
              <w:rPr>
                <w:u w:val="single"/>
                <w:rtl w:val="0"/>
              </w:rPr>
              <w:t xml:space="preserve">dabas lieguma zonas kopšanas cirtē uz cirsmas hektāru saglabā vismaz 15 augtspējīgus vecākos un lielāko izmēru kokus</w:t>
            </w:r>
            <w:r w:rsidR="00000000" w:rsidRPr="00000000" w:rsidDel="00000000">
              <w:rPr>
                <w:rtl w:val="0"/>
              </w:rPr>
              <w:t xml:space="preserve"> (ekoloģiskos kokus), vispirms saglabājot resnākos kokus, kā arī kokus ar lieliem un resniem zariem, un kokus ar deguma rētām. Kokus pēc iespējas saglabā grupās. Savukārt noteikumu projekta 32. punkts noteic, ka </w:t>
            </w:r>
            <w:r w:rsidR="00000000" w:rsidRPr="00000000" w:rsidDel="00000000">
              <w:rPr>
                <w:u w:val="single"/>
                <w:rtl w:val="0"/>
              </w:rPr>
              <w:t xml:space="preserve">dabas parka zonas kopšanas cirtē uz cirsmas hektāru saglabā vismaz 15 augtspējīgus vecākos un lielāko izmēru kokus</w:t>
            </w:r>
            <w:r w:rsidR="00000000" w:rsidRPr="00000000" w:rsidDel="00000000">
              <w:rPr>
                <w:rtl w:val="0"/>
              </w:rPr>
              <w:t xml:space="preserve"> (ekoloģiskos kokus), vispirms saglabājot resnākās priedes, ozolus, liepas, ošus, gobas, vīksnas, melnalkšņus un kļavas. Ja šādu koku mežaudzē nav, vispirms saglabā apses un bērzus, kā arī kokus ar lieliem un resniem zariem, un kokus ar deguma rētām.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Noteikumu Nr. 108 normatīvā akta projektā neietver normas, kas dublē pašā normatīvā akta projektā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Dabas lieguma zona izveidota, lai saglabātu īpaši aizsargājamo sugu dzīvotnes un Latvijas un Eiropas Savienības nozīmes biotopus.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22., 30. un 35.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punkts noteic, ka dabas lieguma zona izveidota, lai saglabātu īpaši aizsargājamo sugu dzīvotnes un Latvijas un Eiropas Savienības nozīmes biotopus, savukārt dabas parka zona atbilstoši noteikumu projekta 30. punktam izveidota, lai aizsargātu dabas parka ainaviskās vērtības, Eiropas Savienībā un Latvijā aizsargājamos biotopus, īpaši aizsargājamās sugas un to dzīvotnes, kā arī vienlaikus nodrošinātu teritorijas ilgtspējīgu izmantošanu. Noteikumu projekta 35. punkts noteic, ka neitrālā zona izveidota valsts un pašvaldību autoceļu apsaimniekošanai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17. panta pirmā daļa noteic, ka aizsargājamās teritorijas individuālie aizsardzības un izmantošanas noteikumi reglamentē </w:t>
            </w:r>
            <w:r w:rsidR="00000000" w:rsidRPr="00000000" w:rsidDel="00000000">
              <w:rPr>
                <w:u w:val="single"/>
                <w:rtl w:val="0"/>
              </w:rPr>
              <w:t xml:space="preserve">pieļaujamo un aizliegto darbību veidus šajā teritorijā, kā arī, ja nepieciešams, tās iedalījumu funkcionālajās zonās</w:t>
            </w:r>
            <w:r w:rsidR="00000000" w:rsidRPr="00000000" w:rsidDel="00000000">
              <w:rPr>
                <w:rtl w:val="0"/>
              </w:rPr>
              <w:t xml:space="preserve">. Šā likuma 19. panta piektā daļa noteic, ka aizsargājamo teritoriju funkcionālās zonas nosaka, ņemot vērā īpaši aizsargājamo sugu un biotopu labvēlīga aizsardzības statusa nodrošināšanas vajadzības, kā arī līdzšinējo saimniecisko darbību un tās ietekmi. Vienlaikus no likuma "Par īpaši aizsargājamām dabas teritorijām" neizriet nepieciešamība ar normatīvo aktu pamatot aizsargājamās teritorijas funkcionālo zonu iedalījumu – šāda prasība atbilstoši šā likuma 18. panta pirmajai daļai attiecināma tikai uz aizsargājamās teritorijas dabas aizsardzības plānu (turpmāk - plāns).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noteikumu projekta 22., 30. un 35. punkts uzskatāms par deklaratīvu normu. Paskaidrojam, ka par deklaratīvām normām atzīstami ne tikai tādi noteikumi, par kuriem jau iepriekš paredzams, ka tos nebūs iespējams īstenot praktisku, ekonomisku, politisku vai citu iemeslu dēļ, bet arī tādi, kuriem nav noteikts īstenošanas mehānisms vai kurus vispār nav paredzēts īstenot, jo tie satur tikai apgalvojumu, paziņojumu vai faktu konstatāciju. Šādas normas ir juridiski nevērtīgas, liekas un nepamatoti palielina normatīvā akta apjomu (</w:t>
            </w:r>
            <w:r w:rsidR="00000000" w:rsidRPr="00000000" w:rsidDel="00000000">
              <w:rPr>
                <w:i w:val="1"/>
                <w:rtl w:val="0"/>
              </w:rPr>
              <w:t xml:space="preserve">sk. Valsts kanceleja. Normatīvo aktu projektu izstrādes rokasgrāmata, 2023. Pieejama: https://tai.mk.gov.lv/get/book/pdf. 20. lpp.</w:t>
            </w:r>
            <w:r w:rsidR="00000000" w:rsidRPr="00000000" w:rsidDel="00000000">
              <w:rPr>
                <w:rtl w:val="0"/>
              </w:rPr>
              <w:t xml:space="preserve">). Noteikumu Nr. 108 3.1. un 3.3. apakšpunkts noteic, ka normatīvā akta projektā neietver normas, kas ir deklaratīvas vai dublē pašā normatīvā akta projektā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veikt darbības, kuru rezultātā tiek mainīta purva, meža, krūmāja vai lauksaimniecībā izmantojamās zemes lietošanas kategorija, izņemot dabiski apmežojušās vai dabiski applūdušas zemes lietošanas kategorijas maiņu uz dabā konstatēto zemes lietošanas kategoriju, kā arī ar Dabas aizsardzības pārvaldes rakstisku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noteikumu projekta 23.2. apakšpunktu un 33. punktu, novēršot regulējuma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23.2. apakšpunkts noteic </w:t>
            </w:r>
            <w:r w:rsidR="00000000" w:rsidRPr="00000000" w:rsidDel="00000000">
              <w:rPr>
                <w:u w:val="single"/>
                <w:rtl w:val="0"/>
              </w:rPr>
              <w:t xml:space="preserve">aizliegumu</w:t>
            </w:r>
            <w:r w:rsidR="00000000" w:rsidRPr="00000000" w:rsidDel="00000000">
              <w:rPr>
                <w:rtl w:val="0"/>
              </w:rPr>
              <w:t xml:space="preserve"> veikt darbības, kuru rezultātā tiek mainīta purva, meža, krumāja vai lauksaimniecībā izmantojamās zemes lietošanas kategorija,</w:t>
            </w:r>
            <w:r w:rsidR="00000000" w:rsidRPr="00000000" w:rsidDel="00000000">
              <w:rPr>
                <w:u w:val="single"/>
                <w:rtl w:val="0"/>
              </w:rPr>
              <w:t xml:space="preserve"> un izņēmumus no šī aizlieguma dabas lieguma zonā</w:t>
            </w:r>
            <w:r w:rsidR="00000000" w:rsidRPr="00000000" w:rsidDel="00000000">
              <w:rPr>
                <w:rtl w:val="0"/>
              </w:rPr>
              <w:t xml:space="preserve">, savukārt noteikumu projekta 33. punkts noteic </w:t>
            </w:r>
            <w:r w:rsidR="00000000" w:rsidRPr="00000000" w:rsidDel="00000000">
              <w:rPr>
                <w:u w:val="single"/>
                <w:rtl w:val="0"/>
              </w:rPr>
              <w:t xml:space="preserve">tādu pašu aizliegumu ar tādiem pašiem izņēmumiem dabas parka zonā.</w:t>
            </w:r>
            <w:r w:rsidR="00000000" w:rsidRPr="00000000" w:rsidDel="00000000">
              <w:rPr>
                <w:rtl w:val="0"/>
              </w:rPr>
              <w:t xml:space="preserve"> Ievērojot, ka minētais aizliegums un aizlieguma piemērošanas izņēmumi gan dabas lieguma zonā, gan dabas parka zonā ir identiski, nav saskatāma nepieciešamība noteikt atsevišķu regulējumu katrai no dabas parka funkcionālajām zonām. Informējam, ka atbilstoši Noteikumu Nr. 108 3.3. apakšpunktam normatīvā akta projektā neietver normas, kas dublē pašā normatīvā akta projektā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rīkot autosacensības, motosacensības, ūdensmotosporta un ūdensslēpošanas sacensības, kā arī to rallijus, treniņbraucienus un izmēģinājuma braucienus;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23.6.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14.5. apakšpunkts noteic aizliegumu dabas parka teritorijā rīkot autosacensības, motosacensības, ūdensmotosporta un ūdensslēpošanas sacensības, kā arī to rallijus, treniņbraucienus un izmēģinājuma braucienus, </w:t>
            </w:r>
            <w:r w:rsidR="00000000" w:rsidRPr="00000000" w:rsidDel="00000000">
              <w:rPr>
                <w:u w:val="single"/>
                <w:rtl w:val="0"/>
              </w:rPr>
              <w:t xml:space="preserve">izņemot pa valsts un pašvaldību autoceļiem un neitrālajā zonā</w:t>
            </w:r>
            <w:r w:rsidR="00000000" w:rsidRPr="00000000" w:rsidDel="00000000">
              <w:rPr>
                <w:rtl w:val="0"/>
              </w:rPr>
              <w:t xml:space="preserve">. Vienlaikus noteikumu projekta 23.6. apakšpunkts noteic, ka minētās darbības dabas lieguma zonā veikt ir aizliegts.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14.5. apakšpunkta jau izriet, ka rīkot  autosacensības, motosacensības, ūdensmotosporta un ūdensslēpošanas sacensības, kā arī to rallijus, treniņbraucienus un izmēģinājuma braucienus dabas lieguma zonā ir aizliegts. Informējam, ka atbilstoši Noteikumu Nr. 108 3.3. apakšpunktam normatīvā akta projektā neietver normas, kas dublē pašā normatīvā akta projektā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cirst kokus kopšanas cirtē, ja mežaudzes vecums 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noteikumu projekta 24.2. un 31.2. apakšpunktu, novēršot regulējuma dublēšanu.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24.2. apakšpunkts noteic ierobežojumus koku ciršanai kopšanas cirtē dabas lieguma zonā, savukārt noteikumu projekta 31.2. apakšpunkts – dabas parka zonā. Ievērojot, ka </w:t>
            </w:r>
            <w:r w:rsidR="00000000" w:rsidRPr="00000000" w:rsidDel="00000000">
              <w:rPr>
                <w:u w:val="single"/>
                <w:rtl w:val="0"/>
              </w:rPr>
              <w:t xml:space="preserve">gan dabas lieguma zonā, gan dabas parka zonā minētie ierobežojumi ir identiski</w:t>
            </w:r>
            <w:r w:rsidR="00000000" w:rsidRPr="00000000" w:rsidDel="00000000">
              <w:rPr>
                <w:rtl w:val="0"/>
              </w:rPr>
              <w:t xml:space="preserve">, nav saskatāma nepieciešamība noteikt atsevišķu regulējumu katrai no dabas parka funkcionālajām zonām. Informējam, ka atbilstoši Noteikumu Nr. 108 3.3. apakšpunktam normatīvā akta projektā neietver normas, kas dublē pašā normatīvā akta projektā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Neitrālā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iebildumu par noteikumu projekta 22. punktu, lūdzam svītrot V nodaļas "Neitrālā zona" nosaukumu un noteikumu projekta 36. punktu ietvert citā, regulējumam atbilstošā noteikumu projekta nodaļā.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atbilstoši Noteikumu Nr. 108 111. punktam Ministru kabineta noteikumu projektā neveido nodaļas, kas satur vienu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Šajā nodaļā minētās prasības attiecas uz dabas pieminekļiem – aizsargājamiem kokiem, vietējo un citzemju sugu dižkokiem (koki, kuru apkārtmērs 1,3 m augstumā virs koka sakņu kakla vai augstums nav mazāks par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minētajiem izmēriem, tai skaitā sausi koki, kritalas un koku stumbeņi) un teritoriju ap kokiem vainagu projekcijas zonā, kā arī 10 metru platā joslā no tās (mērot no aizsargājamā koka vainaga projekcijas ārējās malas).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37. punktu, novēršot regulējuma dublēšanu. Papildus lūdzam vērtēt nepieciešamību precizēt noteikumu projekta 37. punktu attiecībā uz sausiem kokiem, kritalām un koku stumbeņiem.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6. panta pirmā daļa jau noteic, ka viens no dabas pieminekļu veidiem ir aizsargājamie koki. Šā panta otrā daļa noteic, ka, lai nodrošinātu aizsargājamo koku saglabāšanu un to apskates iespēju, aizsargāta tiek arī teritorija zem koku vainagiem, kā arī 10 metru rādiusā ap tiem, skaitot no koka vainaga projekcijas. Savukārt Meža likuma 12. panta piektā daļa noteic, ka aizsargājamie koki ir dižkoki. Informējam, ka atbilstoši Noteikumu Nr. 108 3.2. apakšpunktam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 noteikumu projekta 37. punkta redakcijas secināms, ka </w:t>
            </w:r>
            <w:r w:rsidR="00000000" w:rsidRPr="00000000" w:rsidDel="00000000">
              <w:rPr>
                <w:u w:val="single"/>
                <w:rtl w:val="0"/>
              </w:rPr>
              <w:t xml:space="preserve">par vietējo un citzemju sugu dižkokiem uzskatāmi arī sausi koki, kritalas un koku stumbeņi</w:t>
            </w:r>
            <w:r w:rsidR="00000000" w:rsidRPr="00000000" w:rsidDel="00000000">
              <w:rPr>
                <w:rtl w:val="0"/>
              </w:rPr>
              <w:t xml:space="preserve">, kuru apkārtmērs 1,3 m augstumā virs koka sakņu kakla vai augstums nav mazāks par šo noteikumu 3. pielikumā minētajiem izmēriem.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Aizsargājamo koku atļauts nocirst (novākt), ja ir saņemts kokkopja (arborista) pozitīvs rakstveida atzinums, kura nepieciešamību nosaka Dabas aizsardzības pārvalde, un ir saņemta Dabas aizsardzības pārvaldes rakstveida atļauja,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 sadaļā skaidrot, kā pārvalde izvērtē nepieciešamību saņemt kokkopja (arborista) pozitīvu rakstveida atzinumu aizsargājamā koka nociršanai (novākšanai) un kādos gadījumos tāds nepieciešams, kā arī norādīt normatīvos aktus, no kuriem tas izriet.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koka augtspēja ir pilnīgi zudusi un koks nav dzīvotne īpaši aizsargājamai sugai. Koka augtspēju nosaka atbilstoši meža apsaimniekošanu un izmantošanu regulējošiem normatīviem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 sadaļu ar norādi uz normatīvajiem aktiem, kas reglamentē kārtību, kādā nosaka koka augtspēju.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informatīvās zīmes paraugs, tās lietošanas un izveidošanas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pielikuma virsrakstu un 1. punktu atbilstoši likuma "Par īpaši aizsargājamām dabas teritorijām" 14. panta otrajā daļā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īpaši aizsargājamām dabas teritorijām" 14. panta otrā daļa paredz pilnvarojumu Ministru kabinetam noteikt dabas parka apzīmēšanai </w:t>
            </w:r>
            <w:r w:rsidR="00000000" w:rsidRPr="00000000" w:rsidDel="00000000">
              <w:rPr>
                <w:u w:val="single"/>
                <w:rtl w:val="0"/>
              </w:rPr>
              <w:t xml:space="preserve">dabā</w:t>
            </w:r>
            <w:r w:rsidR="00000000" w:rsidRPr="00000000" w:rsidDel="00000000">
              <w:rPr>
                <w:rtl w:val="0"/>
              </w:rPr>
              <w:t xml:space="preserve"> lietojamās speciālās informatīvās zīmes paraugu, tās lietošanas </w:t>
            </w:r>
            <w:r w:rsidR="00000000" w:rsidRPr="00000000" w:rsidDel="00000000">
              <w:rPr>
                <w:u w:val="single"/>
                <w:rtl w:val="0"/>
              </w:rPr>
              <w:t xml:space="preserve">un izveidošanas kārtību</w:t>
            </w:r>
            <w:r w:rsidR="00000000" w:rsidRPr="00000000" w:rsidDel="00000000">
              <w:rPr>
                <w:rtl w:val="0"/>
              </w:rPr>
              <w:t xml:space="preserve">. Šādu regulējumu noteic arī noteikumu projekta 1.2.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informatīvās zīmes paraugs, tās lietošanas un izveidošanas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 pielikuma 3.4.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ceļa zīmes noteic Noteikumi Nr. 279. Ievērojot, ka aizsargājamo teritoriju apzīmēšanai dabā lietojamās speciālās informatīvās zīmes Noteikumos Nr. 279 nav ietvertas, nav nepieciešamības noteikumu projekta 2. pielikumā noteikt, ka šajā pielikumā noteiktā speciālā informatīvā zīme nav uzstādāma uz ceļiem.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sadaļas 1. apakšsadaļas pēdējo rindkopu atbilstoši likuma "Par īpaši aizsargājamām dabas teritorijām" pielikumā un Noteikumos Nr. 83 noteiktajam. Pēc analoģijas lūdzam precizēt arī noteikumu projekta anotācijas 5.1. sadaļā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 "Par īpaši aizsargājamām dabas teritorijām" 2. panta trešajai daļai izšķir šādas aizsargājamās teritorijas: dabas rezervāti, nacionālie parki, biosfēras rezervāti, dabas parki, dabas pieminekļi, dabas liegumi, aizsargājamās jūras teritorijas un aizsargājamo ainavu apvidi. Tādējādi </w:t>
            </w:r>
            <w:r w:rsidR="00000000" w:rsidRPr="00000000" w:rsidDel="00000000">
              <w:rPr>
                <w:u w:val="single"/>
                <w:rtl w:val="0"/>
              </w:rPr>
              <w:t xml:space="preserve">dabas parki un dabas liegumi ir divas atšķirīgas aizsargājāmo teritoriju kategorijas</w:t>
            </w:r>
            <w:r w:rsidR="00000000" w:rsidRPr="00000000" w:rsidDel="00000000">
              <w:rPr>
                <w:rtl w:val="0"/>
              </w:rPr>
              <w:t xml:space="preserve">. Dabas parks "Riežupe" atbilstoši Noteikumu Nr. 83 1.9. apakšpunktam ir </w:t>
            </w:r>
            <w:r w:rsidR="00000000" w:rsidRPr="00000000" w:rsidDel="00000000">
              <w:rPr>
                <w:u w:val="single"/>
                <w:rtl w:val="0"/>
              </w:rPr>
              <w:t xml:space="preserve">dabas parks</w:t>
            </w:r>
            <w:r w:rsidR="00000000" w:rsidRPr="00000000" w:rsidDel="00000000">
              <w:rPr>
                <w:rtl w:val="0"/>
              </w:rPr>
              <w:t xml:space="preserve">. Papildus norādām, ka atbilstoši likuma "Par īpaši aizsargājamām dabas teritorijām" pielikumam dabas parkam noteiktais aizsargājamās teritorijas B tips apzīmē teritorijas, kas noteiktas īpaši aizsargājamo sugu, </w:t>
            </w:r>
            <w:r w:rsidR="00000000" w:rsidRPr="00000000" w:rsidDel="00000000">
              <w:rPr>
                <w:u w:val="single"/>
                <w:rtl w:val="0"/>
              </w:rPr>
              <w:t xml:space="preserve">izņemot putnus</w:t>
            </w:r>
            <w:r w:rsidR="00000000" w:rsidRPr="00000000" w:rsidDel="00000000">
              <w:rPr>
                <w:rtl w:val="0"/>
              </w:rPr>
              <w:t xml:space="preserve">, un īpaši aizsargājamo biotopu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sadaļu atbilstoši noteikumu projekta 23.1.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23.1. apakšpunkts noteic, ka dabas lieguma zonā aizliegts medīt no 1. marta līdz </w:t>
            </w:r>
            <w:r w:rsidR="00000000" w:rsidRPr="00000000" w:rsidDel="00000000">
              <w:rPr>
                <w:u w:val="single"/>
                <w:rtl w:val="0"/>
              </w:rPr>
              <w:t xml:space="preserve">15. augustam, izņemot mežacūku medības</w:t>
            </w:r>
            <w:r w:rsidR="00000000" w:rsidRPr="00000000" w:rsidDel="00000000">
              <w:rPr>
                <w:rtl w:val="0"/>
              </w:rPr>
              <w:t xml:space="preserve">, kā arī gadījumos, ja ir konstatēti būtiski medījamo dzīvnieku nodarīti postījumi lauksaimniecības zemēm, kā arī lai nepieļautu sevišķi bīstamo slimību (A kategorijas slimību) vai zoonožu izplatīšanos.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sadaļu attiecībā uz spēkā esošo normatīvo regulējumu kompensācijas par saimnieciskās darbības ierobežojumiem aizsargājamās teritorijās piešķiršanas jomā (turpmāk – kompensācija) vai svītrot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norādīts: "Saskaņā ar spēkā esošajiem tiesību aktiem par mežsaimnieciskās darbības ierobežojumiem dabas liegumos (attiecināms arī uz dabas lieguma zonu) ietvertajās mežaudzēs šobrīd atbilstoši likumam „Par zemes īpašnieku tiesībām uz kompensāciju par saimnieciskās darbības ierobežojumiem īpaši aizsargājamās dabas teritorijās un mikroliegumos” ir pieejami ikgadējie atbalsta maksājumi saskaņā ar Ministru kabineta 2023. gada 18. aprīļa noteikumu Nr. 197 "Atbalsta piešķiršanas kārtība Eiropas Lauksaimniecības fonda lauku attīstībai platībatkarīgo un dzīvniekatkarīgo saistību īstenošanai" 82. punktu". Vēršam uzmanību, ka </w:t>
            </w:r>
            <w:r w:rsidR="00000000" w:rsidRPr="00000000" w:rsidDel="00000000">
              <w:rPr>
                <w:u w:val="single"/>
                <w:rtl w:val="0"/>
              </w:rPr>
              <w:t xml:space="preserve">norādītais neatbilst spēkā esošajam regulējumam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likuma 1. panta pirmās daļas 3. punkts noteic, ka </w:t>
            </w:r>
            <w:r w:rsidR="00000000" w:rsidRPr="00000000" w:rsidDel="00000000">
              <w:rPr>
                <w:u w:val="single"/>
                <w:rtl w:val="0"/>
              </w:rPr>
              <w:t xml:space="preserve">mikroliegums ir teritorija, ko nosaka</w:t>
            </w:r>
            <w:r w:rsidR="00000000" w:rsidRPr="00000000" w:rsidDel="00000000">
              <w:rPr>
                <w:rtl w:val="0"/>
              </w:rPr>
              <w:t xml:space="preserve">, lai nodrošinātu īpaši aizsargājamas sugas vai biotopa aizsardzību </w:t>
            </w:r>
            <w:r w:rsidR="00000000" w:rsidRPr="00000000" w:rsidDel="00000000">
              <w:rPr>
                <w:u w:val="single"/>
                <w:rtl w:val="0"/>
              </w:rPr>
              <w:t xml:space="preserve">ārpus īpaši aizsargājamām dabas teritorijām, kā arī īpaši aizsargājamās dabas teritorijās, ja kāda no funkcionālajām zonām to nenodrošina</w:t>
            </w:r>
            <w:r w:rsidR="00000000" w:rsidRPr="00000000" w:rsidDel="00000000">
              <w:rPr>
                <w:rtl w:val="0"/>
              </w:rPr>
              <w:t xml:space="preserve">. Ministru kabineta 2012. gada 18. decembra noteikumu Nr. 940 "Noteikumi par mikroliegumu izveidošanas un apsaimniekošanas kārtību, to aizsardzību, kā arī mikroliegumu un to buferzonu noteikšanu" 9. punkts noteic, ka mikroliegumu atbilstoši kompetencei noteic pārvalde, dienests vai Zemkopības ministrija. Tādējādi noteikta </w:t>
            </w:r>
            <w:r w:rsidR="00000000" w:rsidRPr="00000000" w:rsidDel="00000000">
              <w:rPr>
                <w:u w:val="single"/>
                <w:rtl w:val="0"/>
              </w:rPr>
              <w:t xml:space="preserve">teritorija iegūst mikrolieguma statusu tikai tad, ja attiecīgā institūcija tai tādu ir noteikusi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likums "Par zemes īpašnieku tiesībām uz kompensāciju par saimnieciskās darbības ierobežojumiem īpaši aizsargājamās dabas teritorijās un mikroliegumos" zaudēja spēku 2013. gada 1. jūnijā, kad stājās spēkā </w:t>
            </w:r>
            <w:r w:rsidR="00000000" w:rsidRPr="00000000" w:rsidDel="00000000">
              <w:rPr>
                <w:u w:val="single"/>
                <w:rtl w:val="0"/>
              </w:rPr>
              <w:t xml:space="preserve">likums "Par kompensāciju par saimnieciskās darbības ierobežojumiem aizsargājamās teritorijās</w:t>
            </w:r>
            <w:r w:rsidR="00000000" w:rsidRPr="00000000" w:rsidDel="00000000">
              <w:rPr>
                <w:rtl w:val="0"/>
              </w:rPr>
              <w:t xml:space="preserve">" (turpmāk – Kompensāciju likums). Atbilstoši Kompensāciju likuma 1. pantam kompensācija piešķirama par tādiem saimnieciskās darbības ierobežojumiem valsts un pašvaldību izveidotajās aizsargājamās teritorijās un mikroliegumos, kuri izriet no aizsargājamo teritoriju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nav konstatējama nepieciešamība noteikumu projekta anotācijas 1.3. sadaļā norādīt informāciju par kompensācijas piešķiršanas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projekta 8.1. apakšpunkts paredz Valsts vides dienesta pienākumu, izvērtējot šajā apakšpunktā minētās darbības, izvērtēt arī zemes lietošanas kategorijas maiņas iespējamību, lūdzam noteikumu projekta anotācijas 7.1. sadaļā norādīt arī Valsts vides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Dabas parka platība ir 450,52 ha. Dabas parka funkcionālo zonu shēma noteikta šo noteikumu </w:t>
            </w:r>
            <w:r w:rsidR="00000000" w:rsidRPr="00000000" w:rsidDel="00000000">
              <w:rPr>
                <w:rtl w:val="0"/>
              </w:rPr>
              <w:t xml:space="preserve">​</w:t>
            </w:r>
            <w:r w:rsidR="00000000" w:rsidRPr="00000000" w:rsidDel="00000000">
              <w:rPr>
                <w:rtl w:val="0"/>
              </w:rPr>
              <w:t xml:space="preserve">1. pielikumā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Noteikumu Nr. 108 2.4. apakšpunktam normatīvā akta projekta tekstu raksta, izklāstot to loģiskā secībā, aicinām svītrot noteikumu projekta 3. punktu un atsauci uz noteikumu projekta 1. pielikumu ietvert noteikumu projekta 5.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kurām saskaņā ar normatīvajiem aktiem par ietekmes uz vidi novērtējumu Valsts vides dienests izsniedz tehniskos noteikumus vai veic ietekmes uz vidi sākotnējo izvērtējumu. Ja minēto darbību rezultātā tiek mainīta zemes lietošanas kategorija, Dabas aizsardzības pārvaldes rakstiskā atļauja zemes lietošanas kategorijas maiņai nav nepieciešama. Vērtējot šādas darbības, Valsts vides dienests vienlaikus izvērtē zemes lietošanas kategorijas maiņas iespējamību. Dabas aizsardzības pārvalde šajos gadījumos sniedz Valsts vides dienestam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Vienādas izpratnes nodrošināšanai par noteikumu attiecīgo normu piemērošanu, aicinām visā noteikumu projektā lietot vienādu prasību attiecībā uz attiecīgās Dabas aizsardzības pārvaldes  izsniedzamās atļaujas formu (</w:t>
            </w:r>
            <w:r w:rsidR="00000000" w:rsidRPr="00000000" w:rsidDel="00000000">
              <w:rPr>
                <w:u w:val="single"/>
                <w:rtl w:val="0"/>
              </w:rPr>
              <w:t xml:space="preserve">rakstiska</w:t>
            </w:r>
            <w:r w:rsidR="00000000" w:rsidRPr="00000000" w:rsidDel="00000000">
              <w:rPr>
                <w:rtl w:val="0"/>
              </w:rPr>
              <w:t xml:space="preserve"> vai </w:t>
            </w:r>
            <w:r w:rsidR="00000000" w:rsidRPr="00000000" w:rsidDel="00000000">
              <w:rPr>
                <w:u w:val="single"/>
                <w:rtl w:val="0"/>
              </w:rPr>
              <w:t xml:space="preserve">rakstveida </w:t>
            </w:r>
            <w:r w:rsidR="00000000" w:rsidRPr="00000000" w:rsidDel="00000000">
              <w:rPr>
                <w:rtl w:val="0"/>
              </w:rPr>
              <w:t xml:space="preserve">atļauja) (piemēram, Ministru kabineta 2023. gada 5.septembra noteikumi Nr.506 "Dabas parka "Bernāti" individuālie aizsardzības un izmantošanas noteikumi" paredz Dabas aizsardzības pārvaldes atļaujai rakstisku formu (sk., https://likumi.lv/ta/id/345268-dabas-parka-bernati-individualie-aizsardzibas-un-izmantosanas-noteikumi).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kurām saskaņā ar normatīvajiem aktiem par ietekmes uz vidi novērtējumu Valsts vides dienests izsniedz tehniskos noteikumus vai veic ietekmes uz vidi sākotnējo izvērtējumu. Ja minēto darbību rezultātā tiek mainīta zemes lietošanas kategorija, Dabas aizsardzības pārvaldes rakstiskā atļauja zemes lietošanas kategorijas maiņai nav nepieciešama. Vērtējot šādas darbības, Valsts vides dienests vienlaikus izvērtē zemes lietošanas kategorijas maiņas iespējamību. Dabas aizsardzības pārvalde šajos gadījumos sniedz Valsts vides dienestam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projekta tekstā un noteikumu projekta anotācijā aizstāt vārdu "rakstisks" (attiecīgā locījumā) ar vārdu "rakstveida".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ar rakstisku dokumentu saprot dokumentu, kas uzrakstīts papīra formā, savukārt ar rakstveida dokumentu – jebkuru dokumentu, kas sagatavots rakstveidā, tātad gan papīra, gan elektroniskā formā. Ievērojot minēto, nav ieteicams vārdus "rakstisks" un "rakstveida" lietot kā sinonīmus.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kurām saskaņā ar normatīvajiem aktiem par ietekmes uz vidi novērtējumu Valsts vides dienests izsniedz tehniskos noteikumus vai veic ietekmes uz vidi sākotnējo izvērtējumu. Ja minēto darbību rezultātā tiek mainīta zemes lietošanas kategorija, Dabas aizsardzības pārvaldes rakstiskā atļauja zemes lietošanas kategorijas maiņai nav nepieciešama. Vērtējot šādas darbības, Valsts vides dienests vienlaikus izvērtē zemes lietošanas kategorijas maiņas iespējamību. Dabas aizsardzības pārvalde šajos gadījumos sniedz Valsts vides dienestam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8.1. apakšpunktu, pēdējos divus teikumus izsakot atsevišķā noteikumu projekta vienībā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punkts noteic darbības, kuru veikšanai atļauja nav nepieciešama, savukārt noteikumu projekta 8.1. apakšpunkts ietver gan šādas darbības, gan arī kārtību, kādā Valsts vides dienests izvērtē zemes lietošanas kategorijas maiņas iespējamību dabas parka teritorijā. Informējam, ka atbilstoši normatīvo aktu izstrādes juridiskās tehnikas principiem, normatīvā akta projekta tekstam jābūt strukturētam (</w:t>
            </w:r>
            <w:r w:rsidR="00000000" w:rsidRPr="00000000" w:rsidDel="00000000">
              <w:rPr>
                <w:i w:val="1"/>
                <w:rtl w:val="0"/>
              </w:rPr>
              <w:t xml:space="preserve">sk. Noteikumu Nr. 108 3.3. nodaļu</w:t>
            </w:r>
            <w:r w:rsidR="00000000" w:rsidRPr="00000000" w:rsidDel="00000000">
              <w:rPr>
                <w:rtl w:val="0"/>
              </w:rPr>
              <w:t xml:space="preserve">), loģiskā secībā izklāstītam (</w:t>
            </w:r>
            <w:r w:rsidR="00000000" w:rsidRPr="00000000" w:rsidDel="00000000">
              <w:rPr>
                <w:i w:val="1"/>
                <w:rtl w:val="0"/>
              </w:rPr>
              <w:t xml:space="preserve">sk. Noteikumu Nr. 108 2.4. apakšpunktu</w:t>
            </w:r>
            <w:r w:rsidR="00000000" w:rsidRPr="00000000" w:rsidDel="00000000">
              <w:rPr>
                <w:rtl w:val="0"/>
              </w:rPr>
              <w:t xml:space="preserve">), skaidri uztveramam un pārskatāmam (</w:t>
            </w:r>
            <w:r w:rsidR="00000000" w:rsidRPr="00000000" w:rsidDel="00000000">
              <w:rPr>
                <w:i w:val="1"/>
                <w:rtl w:val="0"/>
              </w:rPr>
              <w:t xml:space="preserve">sk. Valsts kanceleja. Normatīvo aktu izstrādes rokasgrāmata, 2023. Pieejama: https://tai.mk.gov.lv/get/book/pdf. 19. lpp.</w:t>
            </w:r>
            <w:r w:rsidR="00000000" w:rsidRPr="00000000" w:rsidDel="00000000">
              <w:rPr>
                <w:rtl w:val="0"/>
              </w:rPr>
              <w:t xml:space="preserve">). Tādējādi, lai nodrošinātu ērtāku normatīvā akta projekta uztveramību un pareizu tā piemērošanu, ieteicams izvairīties vienā normatīvā akta projekta vienībā (punktā, apakšpunktā) ietvert regulējumu, kas attiecināms uz dažādiem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kurām saskaņā ar normatīvajiem aktiem par ietekmes uz vidi novērtējumu Valsts vides dienests izsniedz tehniskos noteikumus vai veic ietekmes uz vidi sākotnējo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šo noteikumu 8.1. apakšpunktā minēto darbību rezultātā tiek mainīta zemes lietošanas kategorija, Dabas aizsardzības pārvalde sniedz Valsts vides dienestam atzinumu. Valsts vides dienests, izvērtējot šo noteikumu 8.1. apakšpunktā minētās darbības, izvērtē arī zemes lietošanas kategorijas maiņas iespējamību.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kuras tiek veiktas saskaņā ar dabas aizsardzības plāna apsaimniekošanas pasākumu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8.4. apakšpunktu atbilstoši Ministru kabineta 2007. gada 9. oktobra noteikumu Nr. 686 "Noteikumi par īpaši aizsargājamās dabas teritorijas dabas aizsardzības plāna saturu un izstrādes kārtību" (turpmāk – Noteikumi Nr. 686) 9.5.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Nr. 686 9.5. apakšpunkts noteic, ka aizsargājamās teritorijas plānā ietver šādu informāciju par aizsargājamās teritorijas apsaimniekošanu (turpmāk – apsaimniekošana): apsaimniekošanas ilgtermiņa un īstermiņa mērķi plānā noteiktajam apsaimniekošanas periodam un apsaimniekošanas pasākumi. Noteikumi Nr. 686 neparedz apsaimniekošanas plāna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Šajos noteikumos noteiktā Dabas aizsardzības pārvaldes rakstveida atļauja nav nepieciešama, ja saskaņā ar meža apsaimniekošanu regulējošiem normatīvajiem aktiem Valsts meža dienests izsniedz koku ciršanas apliecinājumu. Gadījumā, ja atbilstoši šiem noteikumiem nepieciešama Dabas aizsardzības pārvaldes rakstveida atļauja, Valsts meža dienests apliecinājumu izsniedz pēc Dabas aizsardzības pārvaldes pozitīva atzinuma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projekta 9. punkta pirmais teikums noteic darbības, kuru veikšanai atļauja nav nepieciešama, aicinām noteikumu projekta 9. punkta pirmajā teikumā ietverto regulējumu ietvert noteikumu projekta 8. punktā, nodrošinot loģisku un vienveidīgu regulējuma izklāstu (</w:t>
            </w:r>
            <w:r w:rsidR="00000000" w:rsidRPr="00000000" w:rsidDel="00000000">
              <w:rPr>
                <w:i w:val="1"/>
                <w:rtl w:val="0"/>
              </w:rPr>
              <w:t xml:space="preserve">sk. Noteikumu Nr. 108 2.4. apakšpunktu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koku ciršanai, ja saskaņā ar normatīvajiem aktiem par koku ciršanu mežā Valsts meža dienests izsniedz apliecinājumu koku ciršanai.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Šajos noteikumos noteiktā Dabas aizsardzības pārvaldes rakstveida atļauja nav nepieciešama, ja saskaņā ar meža apsaimniekošanu regulējošiem normatīvajiem aktiem Valsts meža dienests izsniedz koku ciršanas apliecinājumu. Gadījumā, ja atbilstoši šiem noteikumiem nepieciešama Dabas aizsardzības pārvaldes rakstveida atļauja, Valsts meža dienests apliecinājumu izsniedz pēc Dabas aizsardzības pārvaldes pozitīva atzinuma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9. punkta otro teikumu atbilstoši iecerētajam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punkta pirmais teikums noteic, ka, ja atbilstoši normatīvajiem aktiem par koku ciršanu mežā dienests izsniedz apliecinājumu, </w:t>
            </w:r>
            <w:r w:rsidR="00000000" w:rsidRPr="00000000" w:rsidDel="00000000">
              <w:rPr>
                <w:u w:val="single"/>
                <w:rtl w:val="0"/>
              </w:rPr>
              <w:t xml:space="preserve">atļauja nav nepieciešama</w:t>
            </w:r>
            <w:r w:rsidR="00000000" w:rsidRPr="00000000" w:rsidDel="00000000">
              <w:rPr>
                <w:rtl w:val="0"/>
              </w:rPr>
              <w:t xml:space="preserve">. Vienlaikus šā punkta otrais teikums noteic, ka, </w:t>
            </w:r>
            <w:r w:rsidR="00000000" w:rsidRPr="00000000" w:rsidDel="00000000">
              <w:rPr>
                <w:u w:val="single"/>
                <w:rtl w:val="0"/>
              </w:rPr>
              <w:t xml:space="preserve">ja atbilstoši noteikumu projektam atļauja nepieciešama</w:t>
            </w:r>
            <w:r w:rsidR="00000000" w:rsidRPr="00000000" w:rsidDel="00000000">
              <w:rPr>
                <w:rtl w:val="0"/>
              </w:rPr>
              <w:t xml:space="preserve">, dienests apliecinājumu izsniedz pēc pārvaldes pozitīva atzinuma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piedāvātā noteikumu projekta 9. punkta redakcija apgrūtina regulējuma uztveramību un var negatīvi ietekmēt piemērošanu.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šajos noteikumos minēta darbība paredz koku ciršanu, Valsts meža dienests normatīvajos aktos par koku ciršanu mežā noteikto apliecinājumu koku ciršanai izsniedz pēc Dabas aizsardzības pārvaldes pozitīva atzinuma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Šajos noteikumos noteiktie ierobežojumi neattiecas: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Vienādas izpratnes nodrošināšanai par noteikumu attiecīgo normu piemērošanu, aicinām visā noteikumu projektā lietot vienādu terminu </w:t>
            </w:r>
            <w:r w:rsidR="00000000" w:rsidRPr="00000000" w:rsidDel="00000000">
              <w:rPr>
                <w:b w:val="1"/>
                <w:rtl w:val="0"/>
              </w:rPr>
              <w:t xml:space="preserve">"aprobežojumi</w:t>
            </w:r>
            <w:r w:rsidR="00000000" w:rsidRPr="00000000" w:rsidDel="00000000">
              <w:rPr>
                <w:rtl w:val="0"/>
              </w:rPr>
              <w:t xml:space="preserve">" (sk., II nodaļas nosaukumu un noteikumu projekta 10. un 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uz ugunsdzēsības pasākumiem, glābšanas un meklēšanas pasākumiem un ārkārtējām situācijām;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noteikumu projekta 10.1. apakšpunktā vārdu "meklēšanas" ar vārdiem "personu meklēšanas" (</w:t>
            </w:r>
            <w:r w:rsidR="00000000" w:rsidRPr="00000000" w:rsidDel="00000000">
              <w:rPr>
                <w:i w:val="1"/>
                <w:rtl w:val="0"/>
              </w:rPr>
              <w:t xml:space="preserve">sk. Operatīvās darbības likuma 2. panta pirmo daļu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pārvietoties (arī apstāties un stāvēt) ar mehāniskajiem transportlīdzekļiem, tai skaitā automašīnām, traktortehniku, motocikliem, tricikliem, kvadricikliem, mopēdiem un sniega motocikliem, brīvā dabā ārpus ceļiem un dabiskām brauktuvēm (ne vairāk kā četrus metrus plata neizbūvēta brauktuve meža vai lauksaimniecības zemes apsaimniekošanas un aizsardzības vajadzībām un valsts aizsardzības uzdevumu veikšanai), izņemot pārvietošanos pa neitrālo zonu, pārvietošanos ar velosipēdiem, pārvietošanos normatīvajos aktos noteiktajā kārtībā ierīkotās trasēs un gadījumos, ja pārvietošanās ir saistīta ar šo teritoriju (tai skaitā medību saimniecību) apsaimniekošanu, uzraudzību, valsts aizsardzības uzdevumu veikšanu, sabiedriskās kārtības un drošības nodrošināšanu, ugunsdrošības pasākumu veikšanu, kā arī pārvietošanos ar Dabas aizsardzības pārvaldes rakstveida atļauju zinātnisko pētījumu veikšanai. Mehāniskos transportlīdzekļus apstādina un novieto stāvēšanai tā, lai tie neierobežotu un netraucētu citu transportlīdzekļu pārvietošanos pa ceļiem un dabiskām brauktuvēm;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14.2. apakšpunktā ietverto regulējumu izteikt atsevišķās noteikumu projekta vienībās (punktos,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14.2. apakšpunkts vienlaikus noteic gadījumus, kad dabas parka teritorijā ar mehāniskajiem transportlīdzekļiem pārvietoties aizliegts, un gadījumus, kad tas ir atļauts. Paskaidrojam, ka šāda pieeja apgrūtina normatīvā akta uztveramību un tā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Dabas lieguma zonā zemes vienību sadalīšana (tai skaitā dalot kopīpašumu) atļauta tikai gadījumos, ja katras atsevišķās zemes vienības platība pēc sadalīšanas nav mazāka par 10 hektāriem, kā arī noteiktas lietošanas tiesības kopīpašumam, ja jebkura kopīpašnieka lietošanā paliek mazāk par 10 hektāriem,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anotācijā pamatot noteikumu projekta 29. punktā paredzēto izņēmumu zemes vienību sadalīšanai, tajā skaitā, izvērtējot noteikumu projekta 29. punkta atbilstību Latvijas Republikas Satversmes 91.pantā noteiktajam, ka cilvēka tiesības tiek īstenotas bez jebkādas diskriminācijas. Vienlaikus lūdzam precizēt termina "noteiktas lietošanas tiesības kopīpašumam" saturu. Piemēram, ja ar tām domāta kopējās nekustamās lietas dalīta lietošana (sk., Civillikuma 1070. panta pirmo daļu), tad attiecīgi precizējama noteikumu projekta 29.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 617 "Tiesību akta projekta sākotnējās ietekmes izvērtēšanas kārtība" 9.1.apakšpunkts.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gadījumus, ja no īpašuma tiek atdalīta zemes vienība ar dzīvojamām un saimniecības ēkām, pagalmu un zemi, kas nepieciešama saimniecības uzturēšanai. Šādos gadījumos uz jaunveidojamās zemes vienības, uz kuras neatrodas ēkas, jaunu ēku būvniecība nav atļauta, un šo apgrūtinājumu reģistrē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29.3. apakšpunkta otro teikumu, skaidri nosakot, kāds ieraksts veicams zemesgrāmatā noteikumu projekta 29.3.apakšpunkta otrajā teikumā minētajā gadījumā, jo saskaņā ar Zemesgrāmatu likuma 1. pantu zemesgrāmatās </w:t>
            </w:r>
            <w:r w:rsidR="00000000" w:rsidRPr="00000000" w:rsidDel="00000000">
              <w:rPr>
                <w:u w:val="single"/>
                <w:rtl w:val="0"/>
              </w:rPr>
              <w:t xml:space="preserve">ieraksta nekustamus īpašumus un nostiprina ar tiem saistītās tiesības</w:t>
            </w:r>
            <w:r w:rsidR="00000000" w:rsidRPr="00000000" w:rsidDel="00000000">
              <w:rPr>
                <w:rtl w:val="0"/>
              </w:rPr>
              <w:t xml:space="preserve">. Savukārt Zemesgrāmatu likuma 14. panta 3. punkts noteic, ka zemesgrāmatas nodalījumā ieraksta ziņas par nekustamā īpašuma apgrūtinājumiem.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Dabas parka zonā zemes vienību sadalīšana (tai skaitā dalot kopīpašumu) atļauta tikai gadījumos, ja katras atsevišķās zemes vienības platība pēc sadalīšanas nav mazāka par pieciem hektāriem, kā arī noteiktas lietošanas tiesības kopīpašumam, ja jebkura kopīpašnieka lietošanā paliek mazāk par pieciem hektāriem,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anotācijā pamatot noteikumu projekta 34. punktā paredzēto izņēmumu zemes vienību sadalīšanai, tajā skaitā, izvērtējot noteikumu projekta 29. punkta atbilstību Latvijas Republikas Satversmes 91.pantā noteiktajam, ka cilvēka tiesības tiek īstenotas bez jebkādas diskriminācijas, it īpaši pamatojot atšķirības no noteikumu projekta 29. punkta regulējuma, kurā noteikta </w:t>
            </w:r>
            <w:r w:rsidR="00000000" w:rsidRPr="00000000" w:rsidDel="00000000">
              <w:rPr>
                <w:u w:val="single"/>
                <w:rtl w:val="0"/>
              </w:rPr>
              <w:t xml:space="preserve">divreiz lielāka</w:t>
            </w:r>
            <w:r w:rsidR="00000000" w:rsidRPr="00000000" w:rsidDel="00000000">
              <w:rPr>
                <w:rtl w:val="0"/>
              </w:rPr>
              <w:t xml:space="preserve"> minimāli pieļaujamā zemes vienības platība pēc tās sadales (ne mazāk par </w:t>
            </w:r>
            <w:r w:rsidR="00000000" w:rsidRPr="00000000" w:rsidDel="00000000">
              <w:rPr>
                <w:u w:val="single"/>
                <w:rtl w:val="0"/>
              </w:rPr>
              <w:t xml:space="preserve">10</w:t>
            </w:r>
            <w:r w:rsidR="00000000" w:rsidRPr="00000000" w:rsidDel="00000000">
              <w:rPr>
                <w:rtl w:val="0"/>
              </w:rPr>
              <w:t xml:space="preserve"> hektāriem). Vienlaikus lūdzam precizēt termina "noteiktas lietošanas tiesības kopīpašumam" saturu. Piemēram, ja ar tām domāta kopējās nekustamās lietas dalīta lietošana (sk., Civillikuma 1070.panta pirmo daļu), tad attiecīgi precizējama noteikumu projekta 34.punkta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 617 "Tiesību akta projekta sākotnējās ietekmes izvērtēšanas kārtība" 9.1.apakšpunkts.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gadījumus, ja no īpašuma tiek atdalīta zemes vienība ar dzīvojamām un saimniecības ēkām, pagalmu un zemi, kas nepieciešama saimniecības uzturēšanai. Šādos gadījumos uz jaunveidojamās zemes vienības, uz kuras neatrodas ēkas, jaunu ēku būvniecība nav atļauta, un šo gadījumu reģistrē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1. pantu zemesgrāmatās </w:t>
            </w:r>
            <w:r w:rsidR="00000000" w:rsidRPr="00000000" w:rsidDel="00000000">
              <w:rPr>
                <w:u w:val="single"/>
                <w:rtl w:val="0"/>
              </w:rPr>
              <w:t xml:space="preserve">ieraksta nekustamus īpašumus</w:t>
            </w:r>
            <w:r w:rsidR="00000000" w:rsidRPr="00000000" w:rsidDel="00000000">
              <w:rPr>
                <w:rtl w:val="0"/>
              </w:rPr>
              <w:t xml:space="preserve"> un </w:t>
            </w:r>
            <w:r w:rsidR="00000000" w:rsidRPr="00000000" w:rsidDel="00000000">
              <w:rPr>
                <w:u w:val="single"/>
                <w:rtl w:val="0"/>
              </w:rPr>
              <w:t xml:space="preserve">nostiprina ar tiem saistītās tiesības</w:t>
            </w:r>
            <w:r w:rsidR="00000000" w:rsidRPr="00000000" w:rsidDel="00000000">
              <w:rPr>
                <w:rtl w:val="0"/>
              </w:rPr>
              <w:t xml:space="preserve">. Ņemot vērā minēto, lūdzam precizēt noteikumu projekta 34.3. apakšpunktu, skaidri nosakot, kāds ieraksts veicams zemesgrāmatā noteikumu projekta 34.3. apakšpunkta otrajā teikumā minētajā gadījumā, piemēram, līdzīgā gadījumā noteikumu projekta 29.3. apakšpunkts paredz </w:t>
            </w:r>
            <w:r w:rsidR="00000000" w:rsidRPr="00000000" w:rsidDel="00000000">
              <w:rPr>
                <w:u w:val="single"/>
                <w:rtl w:val="0"/>
              </w:rPr>
              <w:t xml:space="preserve">apgrūtinājuma</w:t>
            </w:r>
            <w:r w:rsidR="00000000" w:rsidRPr="00000000" w:rsidDel="00000000">
              <w:rPr>
                <w:rtl w:val="0"/>
              </w:rPr>
              <w:t xml:space="preserve"> reģistrēšanu zemesgrāmatā. Turklāt Zemesgrāmatu likuma 14. panta 3. punkts noteic, ka zemesgrāmatas nodalījumā ieraksta ziņas par nekustamā īpašuma apgrūtinājumiem.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informatīvās zīmes paraugs, tās lietošanas un izveidošanas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 pielikuma 4. punktu, nosakot, ka speciālās informatīvās zīmes izveidošanu un izvietošanu nodrošina pārvalde sadarbībā ar </w:t>
            </w:r>
            <w:r w:rsidR="00000000" w:rsidRPr="00000000" w:rsidDel="00000000">
              <w:rPr>
                <w:u w:val="single"/>
                <w:rtl w:val="0"/>
              </w:rPr>
              <w:t xml:space="preserve">pašvaldību, kuras teritorijā atrodas dabas parks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"Pašreizējās situācijas aprakstā" </w:t>
            </w:r>
            <w:r w:rsidR="00000000" w:rsidRPr="00000000" w:rsidDel="00000000">
              <w:rPr>
                <w:rtl w:val="0"/>
              </w:rPr>
              <w:t xml:space="preserve">precizējams tajā norādīto Ministru kabineta noteikumu izdošanas datums (201</w:t>
            </w:r>
            <w:r w:rsidR="00000000" w:rsidRPr="00000000" w:rsidDel="00000000">
              <w:rPr>
                <w:u w:val="single"/>
                <w:rtl w:val="0"/>
              </w:rPr>
              <w:t xml:space="preserve">0</w:t>
            </w:r>
            <w:r w:rsidR="00000000" w:rsidRPr="00000000" w:rsidDel="00000000">
              <w:rPr>
                <w:rtl w:val="0"/>
              </w:rPr>
              <w:t xml:space="preserve">. gada 16. marta noteikumi Nr. 264 "Īpaši aizsargājamo dabas teritoriju vispārējie aizsardzības un izmantošanas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un izmaksu samērīguma pret ieguvumiem </w:t>
            </w:r>
            <w:r w:rsidR="00000000" w:rsidRPr="00000000" w:rsidDel="00000000">
              <w:rPr>
                <w:b w:val="1"/>
                <w:rtl w:val="0"/>
              </w:rPr>
              <w:t xml:space="preserve">"Aprakstā" </w:t>
            </w:r>
            <w:r w:rsidR="00000000" w:rsidRPr="00000000" w:rsidDel="00000000">
              <w:rPr>
                <w:rtl w:val="0"/>
              </w:rPr>
              <w:t xml:space="preserve">norādīts: "Izvērtējot noteikumu projektā paredzētos ierobežojumus fizisko un juridisko personu nekustamo īpašumu izmantošanā ar īpašnieka tiesībām brīvi rīkoties ar savu īpašumu, secināts, ka šo tiesību ierobežojums noteikts ar mērķi saglabāt ilgtermiņā bioloģisko daudzveidību un īpaši aizsargājamo sugu dzīvotņu un īpaši aizsargājamo biotopu aizsardzību kā to paredz Latvijas Republikas Satversmes 115. pants (valsts aizsargā ikviena tiesības dzīvot labvēlīgā vidē, sniedzot ziņas par vides stāvokli un rūpējoties par tās saglabāšanu un uzlabošanu), līdz ar to noteikumu projektā noteiktie aprobežojumi uzskatāmi par izsvērtiem un samērīgiem.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iekļautās prasības ir samērīgas un izdiskutētas sabiedrisko apspriešanu laikā sabiedriskajās apspriedēs, noteikumu projekts sagatavots, balstoties uz dabas aizsardzības plāna izstrādes laikā veikto izpēti. Ņemot vērā minēto, uzskatām, ka labums, ko iegūs sabiedrība kopumā, ir uzskatāms par lielāku attiecībā pret noteikumu projektā paredzēto prasību negatīvajām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Tieslietu ministrijas ieskatā, anotācijā būtu ietverams ne tikai noteikumu projektā ietverto privātpersonas tiesību ierobežojumu atbilstības Latvijas Republikas Satversmes 115. pantam izvērtējums, bet anotācija būtu papildināma arī ar noteikumu projektā paredzēto privātpersonas īpašuma tiesību ierobežojumu atbilstības Latvijas Republikas Satversmes 105. pantam izvērtējumu, t.i., anotācija būtu papildināma ar detalizētu katra īpašuma tiesību aprobežojuma samērīguma  izvērtējumu, t.i., vai labums, ko iegūs sabiedrība kopumā, ir uzskatāms par lielāku attiecībā pret noteikumu projektā paredzēto prasību negatīvajām sekām,  turklāt norādot, vai un kā īpašumtiesību aprobežojums tiks kompensēts, vai kādēļ netiks kompensēts, vai kādi ir alternatīvie mehānismi, kas nodrošinās samērīgumu starp privātpersonas īpašuma tiesību ierobežošanu un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Civillikuma 927. pants noteic, ka īpašums ir pilnīgas varas tiesības par lietu, t.i. tiesība valdīt un lietot to, iegūt no tās visus iespējamos labumus un ar to rīkoties. Tāpat arī no Latvijas Republikas Satversmes 105. panta izriet, ka valsts aizsargā ikviena tiesības uz īpašumu. Vienlaikus īpašuma tiesības nav absolūtas un valstij ir tiesības aprobežot privātpersonu īpašuma lietošanas tiesības, tomēr ik katram aprobežojumam ir jābūt izvērtētam, pamatotam un samērīgam.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dienests jau šobrīd izsniedz apliecinājumu atbilstoši Noteikumos Nr. 935 noteiktajai kārtībai un sanitāro atzinumu atbilstoši Ministru kabineta 2023. gada 27. jūnija noteikumos Nr. 348 "Meža aizsardzības noteikumi" noteiktajai kārtībai, kā arī to, ka noteikumu projekts neparedz jaunu kārtību attiecībā uz minēto dokumentu izsniegšanu, aicinām svītrot noteikumu projekta anotācijas 7.5. sadaļā vārdus "Valsts meža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24-TA-1630</w:t>
    </w:r>
    <w:r>
      <w:br/>
    </w:r>
    <w:r w:rsidR="00000000" w:rsidRPr="00000000" w:rsidDel="00000000">
      <w:rPr>
        <w:rtl w:val="0"/>
      </w:rPr>
      <w:t xml:space="preserve">Izdrukāts 25.06.2026.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24-TA-1630</w:t>
    </w:r>
    <w:r>
      <w:br/>
    </w:r>
    <w:r w:rsidR="00000000" w:rsidRPr="00000000" w:rsidDel="00000000">
      <w:rPr>
        <w:rtl w:val="0"/>
      </w:rPr>
      <w:t xml:space="preserve">Izdrukāts 25.06.2026.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Atzinumi_24-TA-1630.docx</dc:title>
</cp:coreProperties>
</file>

<file path=docProps/custom.xml><?xml version="1.0" encoding="utf-8"?>
<Properties xmlns="http://schemas.openxmlformats.org/officeDocument/2006/custom-properties" xmlns:vt="http://schemas.openxmlformats.org/officeDocument/2006/docPropsVTypes"/>
</file>