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personas datu glabāšanas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anotācijā sniegt skaidrojumu par datu dzēšanas kārtību, t.i., vai personas dati tiks dzēsti automātiski pēc noteiktā termiņa, vai tos dzēsīs manuāli pēc Valsts kancelejas vai iestādes iniciatīvas.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Gudļevskis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minētos datus var glabāt ilgāk par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norādīto termiņu, ja saņemta datu subjekta piekrišana ilgākai datu apstrādei nolūkā informēt par citām piemērotām vakancēm. Šādā gadījumā datus glabā līdz brīdim, kad saņemts personas iesniegums par datu dzēšanu, bet ne ilgāk kā 24 mēnešus no pieteikuma iesniegšanas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anotācijā sniegt skaidrojumu par datu dzēšanas kārtību, saņemot personas iesniegumu par datu dzēšanu vai iestājoties 24 mēnešu termiņam, t.i., vai personas datus būs iespējams dzēst iestādei, saņemot iesniegumu, vai tie dzēsīsies automātiski, iestājoties 24 mēnešu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Gudļevskis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tiek lietoti termini "nodarbinātais”, "valsts civildienesta ierēdnis” un "darbinieks”, aicinām pārskatīt termina "darbinieks” lietojumu anotācijā. Gadījumos, kad tas attiecināms gan uz valsts civildienesta ierēdni, gan uz darbinieku, izsakām priekšlikumu lietot terminu "nodarbinātais”, tādējādi nodrošinot konsekventu terminoloģijas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Gudļevskis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