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vērš uzmanību uz nepieciešamību pēc iespējas ātrāk veikt Mērķa finansējuma izlietojuma pārvaldības platformas (MAP) turpmākas attīstības analīzi  (iesaistot Finanšu ministriju un salāgojot ar CFLA KPVIS attīstības iespējām), ņemot vērā šīs analīzes tiešu ietekmi uz MAP attīstībai paredzēto finansējumu (kas gan tika atbalstīts ar Digitālās modernizācijas tematiskās komitejas 25.03. sēdes lēmumu par Atveseļošanas fonda 2.1. reformu un investīciju virziena projektu ietaupījumu novirzīšanu augstas gatavības prioritātēm, gan iekļauts ERAF 1.3.1.1. pasākuma "IKT risinājumu un pakalpojumu attīstība un iespēju radīšana privātajam sektoram" projektu iecerēs).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29.09.2025. 14.46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29.09.2025. 14.46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Atzinumi_25-TA-2014.docx</dc:title>
</cp:coreProperties>
</file>

<file path=docProps/custom.xml><?xml version="1.0" encoding="utf-8"?>
<Properties xmlns="http://schemas.openxmlformats.org/officeDocument/2006/custom-properties" xmlns:vt="http://schemas.openxmlformats.org/officeDocument/2006/docPropsVTypes"/>
</file>