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w:t>
            </w:r>
            <w:r w:rsidR="00000000" w:rsidRPr="00000000" w:rsidDel="00000000">
              <w:rPr>
                <w:rtl w:val="0"/>
              </w:rPr>
              <w:t xml:space="preserve"> punktā minēto lēmumu paziņo Paziņošanas likumā noteiktajā kārtībā un to var apstrīdēt un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1.20. apakšpunktu un projekta 1.32. apakšpunktā iekļauto Ministru kabineta 2014. gada 22. jūlija noteikumu Nr. 421 "Medību noteikumi" (turpmāk – noteikumi Nr. 421)  47. punkta otro teikumu: Šo lēmumu paziņo Paziņošanas likumā noteiktajā kārtībā un to var apstrīdēt un pārsūdzēt Administratīvā procesa likumā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izmaiņu nepieciešamība pamatojama ar Ministru kabineta 2009. gada 3. februāra noteikumu Nr. 108 "Normatīvo aktu projektu sagatavošanas noteikumi" 3.2. apakšpunktu, kas  noteic, ka normatīvā akta projektā neietver normas, kas dublē augstāka vai tāda paša spēka normatīvā akta tiesību normās ietverto normatīvo regulējumu, šis regulējums attiecībā uz administratīvā akta pārsūdzēšanu dublē Administratīvā 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iekļautais regulējums attiecībā uz administratīvā akta paziņošanu nonāk pretrunā ar likumu "Grozījumi Valsts meža dienesta likumā", kas stāsies spēkā 2024. gada 12. janvārī, kas citastarp paredz likumu papildināt ar 9.</w:t>
            </w:r>
            <w:r w:rsidR="00000000" w:rsidRPr="00000000" w:rsidDel="00000000">
              <w:rPr>
                <w:vertAlign w:val="superscript"/>
                <w:rtl w:val="0"/>
              </w:rPr>
              <w:t xml:space="preserve">2</w:t>
            </w:r>
            <w:r w:rsidR="00000000" w:rsidRPr="00000000" w:rsidDel="00000000">
              <w:rPr>
                <w:rtl w:val="0"/>
              </w:rPr>
              <w:t xml:space="preserve"> pantu, proti, tā pirmā daļa paredz, ka Valsts meža dienests izdoto administratīvo aktu, tostarp nelabvēlīgu administratīvo aktu, un citus lēmumus, dokumentus un informāciju personai paziņo tiešsaistē Meža valsts reģistrā, vienlaikus tos nosūtot uz lietotāja oficiālo elektronisko adresi, ja personai ir aktivizēts šīs adreses konts, vai norādīto elektroniskā pasta adresi, ja personai nav aktivizēts oficiālās elektroniskās adreses konts. Ja objektīvu apstākļu dēļ nav iespējama paziņošana tiešsaistē Meža valsts reģistrā, paziņošanai izmanto citus Paziņošanas likumā minētos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administratīvā akta pārsūdzības kārtību Valsts meža dienestā spēkā esošā noteikumu Nr.421 21.punkts paredz, ka noteikumu 20. punktā minēto lēmumu var apstrīdēt un pārsūdzēt Valsts meža dienesta likuma 10. pantā noteiktajā kārtībā. Likums "Grozījumi Valsts meža dienesta likumā", kas stāsies spēkā 2024. gada 12. janvārī, izslēdz tā 10. pantu, jo patlaban spēkā esošā Valsts meža dienesta likuma 10. panta redakcija būtībā paredz vienu apstrīdēšanas pakāpi vairāk, nekā tas noteikts Administratīvā 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pašlaik plānots, ka projekts stāsies spēkā 2024.gada 1.aprīlī, taču Valsts meža dienesta likuma 10. pants nebūs spēkā no 2024. gada 12. janvāra, līdz ar to no šī datuma noteikumos Nr. 421 būs atsauce uz Valsts meža dienesta likuma normu, kura nav spēkā esoša. Līdz ar to projektā ietvertajam regulējumam attiecībā uz administratīvo aktu apstrīdēšanu un to paziņošanu būtu jāstājas spēkā līdz ar minēto likumu "Grozījumi Valsts meža dienesta likumā", vai pēc iespējas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stājas spēkā 2024.gada 1.aprīlī.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7.panta otrā daļa citastarp paredz, ka Ministru kabineta noteikumi, instrukcijas vai ieteikumi stājas spēkā nākamajā dienā pēc to izsludināšanas, ja pašā tiesību aktā nav noteikts cits tā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noteikumi"156. punkts noteic, ja nepieciešams, noteikumu projekta pēdējā punktā, bet, ja noteikumu projekts iedalīts nodaļās, nodaļā ar nosaukumu “Noslēguma jautājumi” raksta norādi uz noteikumu spēkā stāšanās laiku. Norādē secīgi raksta:1. vārdus “noteikumi stājas spēkā”; 2. noteikumu spēkā stāšanās datumu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sadaļu "Risinājuma apraksts", iekļaujot korektas atsauces uz attiecīgiem projekta apakšpunktiem, piemēram, noteikumu Nr. 421 16. punkts ir izteikts citā redakcijā projekta 1.14. apakšpunktā, nevis projekta 1.13. apakšpunktā, kā norādīts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anotācijas 4.2. sadaļā iekļauto informāciju, jo atbilstoši Valsts kancelejas izstrādātajām vadlīnijām tiesību akta projekta sākotnējās ietekmes novērtēšanai un novērtējuma ziņojuma sagatavošanai vienotajā tiesību aktu izstrādes un saskaņošanas portālā, ja projekts ietekmē spēkā esošo tiesību normu sistēmu, aizpilda TAP portāla anotācijas 4.sadaļu, kurā norāda: tiesību aktu projektus, kuru izstrādāšanai paredzēts pilnvarojums projektā, saistīto tiesību aktu nosaukumu, pamatojumu un aprakstu, kā arī atbildīgo institūciju; citus spēkā esošos (vai jau apstiprinātos) tiesību aktus, kuros jāizdara grozījumi vai kuri jāatzīst par spēku zaudējušiem (atceltiem) saistībā ar projektu, kā arī skaidro šādu izmaiņu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11.01.2024.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11.01.2024.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