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Recepšu veidlapu un recepšu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Aptieku un valsts institūciju pienākumi recepšu un recepšu veidlapu apritē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izziņas 14. punktā un anotācijā ir norādīts, ka "</w:t>
            </w:r>
            <w:r w:rsidR="00000000" w:rsidRPr="00000000" w:rsidDel="00000000">
              <w:rPr>
                <w:i w:val="1"/>
                <w:rtl w:val="0"/>
              </w:rPr>
              <w:t xml:space="preserve">ņemot vērā, ka ne Ārstniecības likuma 60. pants, ne Narkotisko un psihotropo vielu un zāļu, kā arī prekursoru likumīgās aprites likuma 36. panta pirmā daļa dotais pilnvarojums Ministru kabinetam neaptver visus tos jautājumus, kas faktiski tiek regulēti ar šobrīd spēkā esošajiem Ministru kabineta 2005. gada 8. marta noteikumiem Nr. 175 "Recepšu veidlapu izgatavošanas un uzglabāšanas, kā arī recepšu izrakstīšanas un uzglabāšanas noteikumi", jo īpaši recepšu veidlapu uzglabāšanu, iznīcināšanu, recepšu apriti, kā arī aptieku un valsts institūciju pienākumus recepšu un recepšu veidlapu apritē, plānots, ka Saeima vēl pieņems grozījumu Ārstniecības likumā, pamatojoties uz Veselības ministrijas iesniegtajiem priekšlikumiem.</w:t>
            </w:r>
            <w:r w:rsidR="00000000" w:rsidRPr="00000000" w:rsidDel="00000000">
              <w:rPr>
                <w:rtl w:val="0"/>
              </w:rPr>
              <w:t xml:space="preserve">" Vēršam uzmanību uz to, ka projektā ietvertajam regulējumam ir jāatbilst likumā dotajam pilnvarojumam, tādējādi līdz brīdim, kamēr nav stājies spēkā attiecīgs pilnvarojums likumā, projektā nevar ietvert regulējumu, kādu Ministru kabinets nav pilnvarots noteikt. Ievērojot minēto, lūdzam svītrot projekta V nodaļu vai nodrošināt projekta tālāku virzību pēc attiecīgu grozījumu veikšanas Ārstniecības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Lai nodrošinātu informācijas apriti par izrakstītajām receptēm: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informācijas par izrakstītajām receptēm nodošanas nolūku/s, lai tie būtu viennozīmīgi skaidri kā arī atbilstoši Vispārīgās datu aizsardzības regulas prasībām. Paskaidrojam, ka nolūks "informācijas aprite" nav pietiekams, lai pamatotu informācijas par izrakstītajām receptēm, tajā skaitā personas datu, nosūtīšanu citam pārzinim. Datu apstrādes, tajā skaitā nodošanas, nolūks ir formulējams tā, lai no tā būtu pietiekami skaidrs, kādēļ ir nepieciešama datu apstrāde un, ka bez šīs apstrādes nolūku nav iespējas sasniegt. Turklāt nolūks ir nosakāms tā, lai datu subjektam būtu skaidrs, kādēļ tā dati tiks apstrādāti tieši tādā apjomā un tieši tādā noteiktā veidā. Ņemot vērā minēto, kā arī Vispārīgajā datu aizsardzības regulā noteikto likumības, pārredzamības un nolūka ierobežojum principu, ir precizējams informācijas par izrakstītajām receptēm nodošanas nolūks/i.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recepšu (izņemot veterinārās receptes) veidlapu izgatavošanas kārtību, kā arī recepšu izrakstīšanas un uzglabāšanas prasības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Ministru kabineta 2009. gada 3. februāra noteikumu Nr. 108 "Normatīvo aktu projektu sagatavošanas noteikumi" 100. punkts noteic, ka Ministru kabineta noteikumu projekta pirmajā punktā secīgi raksta vārdus "noteikumi nosaka" un likumā noteikto pilnvarojumu Ministru kabinetam. Ievērojot minēto, lūdzam precizēt projekta 1. punktu atbilstoši Ārstniecības likuma 60. pantā un Narkotisko un psihotropo vielu un zāļu, kā arī prekursoru likumīgās aprites likuma 36. panta pirmajā daļā noteiktajam pilnvarojumam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Aptiekas vienotajā veselības nozares elektroniskās informācijas sistēmā tiešsaistē sniedz informāciju par izrakstītajām un izsniegtajām zālēm un medicīniskajām ierīcēm, kas izrakstītas uz īpašās receptes veidlapas, vai par zālēm, kas izrakstītas uz parastās receptes veidlapas norādot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projekts 63. punkta ievaddaļu, ņemot vērā to, ka projektā tiek lietots vārdu savienojums "veselības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sabiedrība ar ierobežotu atbildību "Latvijas Digitālās veselības centrs" nodod informāciju Dienestam, savukārt Dienests uzkrāj un apstrādā šo noteikumu 63. punktā minēto recepšu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nosakot, kādas tieši ziņas vai datu veidus sabiedrība ar ierobežotu atbildību "Latvijas Digitālās veselības centrs" nodod Dienestam. Atbilstoši projekta saturam sabiedrības ar ierobežotu atbildību "Latvijas Digitālās veselības centrs" rīcībā atrodas projekta 24.punktā minētā informācija, vienlaikus, no 65.1.apakšpunkta nav viennozīmīgi skaidrs, ka tikai 24.punktā minētā informācija varētu tikt nodota Dienestam projekta 65.1.apakšpunkta ietvaros. Tādēļ, lai projekta normu varētu pēc iespējas efektīvāk piemērot atbilstoši tās mērķim, tā ir precizējama.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08.07.2026.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08.07.2026.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Atzinumi_26-TA-627.docx</dc:title>
</cp:coreProperties>
</file>

<file path=docProps/custom.xml><?xml version="1.0" encoding="utf-8"?>
<Properties xmlns="http://schemas.openxmlformats.org/officeDocument/2006/custom-properties" xmlns:vt="http://schemas.openxmlformats.org/officeDocument/2006/docPropsVTypes"/>
</file>