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8.1.6. uz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8.1.6. sadaļu par MK noteikumu projekta ietekmi uz vidi papildināt, norādot ietekmi uz Dabas atjaunošanas regulu, ievērojot, ka atbalstāmās darbības potenciāli ir iespējams veikt arī Eiropas Savienības nozīmes aizsargājamās teritorijās (</w:t>
            </w:r>
            <w:r w:rsidR="00000000" w:rsidRPr="00000000" w:rsidDel="00000000">
              <w:rPr>
                <w:i w:val="1"/>
                <w:rtl w:val="0"/>
              </w:rPr>
              <w:t xml:space="preserve">Natura 2000</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6.1.1.2. pasākuma ietvaros sniegtais atbalsts veicinās Eiropas Parlamenta un Padomes Regulas (ES) 2024/1991 (2024. gada 24. jūnijs) par dabas atjaunošanu un ar ko groza Regulu (ES) 2022/869 ieviešanu, jo veiktie pētījumi un atbalstāmās darbības potenciāli tiks veiktas Eiropas Savienības nozīmes aizsargājamās teritorijās (</w:t>
            </w:r>
            <w:r w:rsidR="00000000" w:rsidRPr="00000000" w:rsidDel="00000000">
              <w:rPr>
                <w:i w:val="1"/>
                <w:rtl w:val="0"/>
              </w:rPr>
              <w:t xml:space="preserve">Natura 2000</w:t>
            </w:r>
            <w:r w:rsidR="00000000" w:rsidRPr="00000000" w:rsidDel="00000000">
              <w:rPr>
                <w:rtl w:val="0"/>
              </w:rPr>
              <w:t xml:space="preserve">), atjaunojot kūdraugsni, kas palīdz būtiski vairot bioloģisko daudzveidību (tai skaitā pozitīvi ietekmējot Eiropas Savienības nozīmes biotopus).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Austra Auziņa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21.10.2024.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21.10.2024.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Atzinumi_23-TA-2866.docx</dc:title>
</cp:coreProperties>
</file>

<file path=docProps/custom.xml><?xml version="1.0" encoding="utf-8"?>
<Properties xmlns="http://schemas.openxmlformats.org/officeDocument/2006/custom-properties" xmlns:vt="http://schemas.openxmlformats.org/officeDocument/2006/docPropsVTypes"/>
</file>