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2.2.1.1.i. investīcijas ietvaros atbalsts Eiropas digitālās inovācijas centram tiek sniegts granta veidā, gala labuma guvēja līmenī tiek sniegts nefinanšu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eksperimentēšanas, pilotēšanas un testēšanas darbību izmaksas nepieciešams paplašināt ar iespēju sniegt kā grantu gala labuma guvējam, lūdzam papildināt, ka MK noteikumu 32.3. apakšpunkta ietvaros gala labuma guvēja līmenī tiek sniegts nefinanšu </w:t>
            </w:r>
            <w:r w:rsidR="00000000" w:rsidRPr="00000000" w:rsidDel="00000000">
              <w:rPr>
                <w:b w:val="1"/>
                <w:rtl w:val="0"/>
              </w:rPr>
              <w:t xml:space="preserve">vai granta atbalsts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izmaksas, kas minētas šo noteikumu 31. un 32.punktā, ja tās neatbilsta Eiropas komisijas saskaņotajam darba paku dalījumam jau kopš Eiropas digitālo inovācijas centra projekta uzsākšanas brīža.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izmaksu dalījumu starp programmu "Digitālā Eiropa" un Atveseļošanas fonda 2.2.1.1.i.investīciju un piedāvāto redakciju jaunam (33.6.)apakšpunktam atkārtoti aicinām tā vietā papildināt MK noteikumu 31.punktu ar izmaksu pozīcijām un, kur nepieciešams, likt atrunu "kuras netiek segtas no Eiropas Komisijas programmas "Digitālā Eiropa"" (līdzīgi, kā tas jau ir MK 13.09.2022. noteikumu Nr. 577  32.1. apakšpunkta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33.6. apakšpunktā neatsaukties uz 32.punktā minētajām izmaksām, jo gala labuma guvējam izmaksas nerodas uz Eiropas digitālās inovācijas centra darba paku pamata projekta "Digitālā Eiropa"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Centrālā finanšu un līgumu aģentūra, pieņemot lēmumu par komercdarbības atbalsta piešķiršanu, vērtē, vai uz Eiropas digitālās inovācijas centru neattiecas grūtībās nonākuša uzņēmuma statuss saskaņā ar Komisijas regulas Nr. </w:t>
            </w:r>
            <w:r w:rsidR="00000000" w:rsidRPr="00000000" w:rsidDel="00000000">
              <w:rPr>
                <w:rtl w:val="0"/>
              </w:rPr>
              <w:t xml:space="preserve">651/2014</w:t>
            </w:r>
            <w:r w:rsidR="00000000" w:rsidRPr="00000000" w:rsidDel="00000000">
              <w:rPr>
                <w:rtl w:val="0"/>
              </w:rPr>
              <w:t xml:space="preserve"> 2. panta 18. punktu un vai tas neatbilst Komisijas regulas Nr. 651/2014 1. panta 4. punkta "a" apakšpunktā minētajiem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praktiskās piemērošanas viedokļa visām iesaistītajām pusēm ir svarīga likumīga komercdarbības atbalsta piešķiršana, tad atkārtoti vēršam uzmanību, ka Komisijas 2014. gada 17. jūnija Regulas (ES) Nr. 651/2014, ar ko noteiktas atbalsta kategorijas atzīst par saderīgām ar iekšējo tirgu, piemērojot Līguma 107. un 108. pantu, (turpmāk – Komisijas regula Nr. 651/2014) 1. panta 4. punkta un 2. panta 18. punkta nosacījumi ir jāvērtē/jāpiemēro uzņēmuma grupas līmenī, jo Komisijas regulas Nr. 651/2014 angliskajā versijā nosacījumi, kas ir attiecināmi uz “undertaking”, ir jāpārbauda/jāpiemēro uzņēmuma grupas līmenī. Ņemot vērā iepriekš minēto, lūdzam papildināt MK noteikumu 54. punktu ar nosacījumu, ka Eiropas digitālās inovācijas centrs tiks vērtēts grupas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vai plānotais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1408/2013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ja atbalstu piešķir saskaņā ar Komisijas regulu Nr. 1408/2013.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atbilstoši Komisijas regulas Nr. </w:t>
            </w:r>
            <w:r w:rsidR="00000000" w:rsidRPr="00000000" w:rsidDel="00000000">
              <w:rPr>
                <w:rtl w:val="0"/>
              </w:rPr>
              <w:t xml:space="preserve">1408/2013</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praktiskās piemērošanas viedokļa visām iesaistītajām pusēm ir svarīga likumīga komercdarbības atbalsta piešķiršana, un, ņemot vērā to, ka Komisijas 2013. gada 18. decembra Regulā (ES) Nr. 1408/2013 par Līguma par Eiropas Savienības darbību 107. un 108. panta piemērošanu de minimis atbalstam lauksaimniecības nozarē (turpmāk – Komisijas regula Nr. 1408/2013) ir veikti būtiski grozījumi saskaņā ar Komisijas 2024. gada 10. decembra Regulu (ES) 2024/3118, ar ko groza Regulu (ES) Nr. 1408/2013 par Līguma par Eiropas Savienības darbību 107. un 108. panta piemērošanu de minimis atbalstam lauksaimniecības nozarē, piemēram, attiecībā uz to, kā skaitāms de minimis atbalsta piešķiršanas periods, lūdzam pārskatīt MK noteikumus un precizēt MK noteikumu punktus, kuros ir iekļauti Komisijas regulas Nr. 1408/2013 nosacījumi atbilstoši tajā veiktajiem grozījumiem, piemēram, 61.1. apakšpunktu, 73. punktu, tai skaitā, lūdzam noteikumu projektu saskaņot arī ar Zemkopības ministriju Komercdarbības atbalsta kontroles likuma 9. panta otrajā daļā noteiktās kompetences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Objektivitātes un konfidencialitātes apliecinājums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arī noteikumu 3. pielikumu, aizstājot ar aktuālo regulu - Eiropas Parlamenta un Padomes 2024. gada 23. septembra Regula (ES, Euratom) 2024/2509 par finanšu noteikumiem, ko piemēro Savienības vispārējam budžetam (pārstrādāta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24-TA-3044</w:t>
    </w:r>
    <w:r>
      <w:br/>
    </w:r>
    <w:r w:rsidR="00000000" w:rsidRPr="00000000" w:rsidDel="00000000">
      <w:rPr>
        <w:rtl w:val="0"/>
      </w:rPr>
      <w:t xml:space="preserve">Izdrukāts 14.03.2025. 06.51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24-TA-3044</w:t>
    </w:r>
    <w:r>
      <w:br/>
    </w:r>
    <w:r w:rsidR="00000000" w:rsidRPr="00000000" w:rsidDel="00000000">
      <w:rPr>
        <w:rtl w:val="0"/>
      </w:rPr>
      <w:t xml:space="preserve">Izdrukāts 14.03.2025. 06.51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Atzinumi_24-TA-3044.docx</dc:title>
</cp:coreProperties>
</file>

<file path=docProps/custom.xml><?xml version="1.0" encoding="utf-8"?>
<Properties xmlns="http://schemas.openxmlformats.org/officeDocument/2006/custom-properties" xmlns:vt="http://schemas.openxmlformats.org/officeDocument/2006/docPropsVTypes"/>
</file>