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26.01.2024.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22.02.2024.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piekrist Likumprojekta OCTA likuma  14.panta  un ar to saistīto likuma normu (OCTA likuma 57. panta otrās daļas 2. teikuma grozījumi attiecībā uz vārdu "un trešajā daļā" izslēgšanu)  izslēgšanai no šī likumprojekta un minētā jautājuma nenoregulēšanai šī likuma ietvaros. Vēršam uzmanību, ka Likumprojekta tālākā virzība  tiešā veidā ietekmē  jaunās OCTA direktīvas (ES) 2021/2118 1.panta 8. un 18.punkta prasību izpildi attiecībā uz  OCTA Garantijas fonda finansiālo stabilitāti prasību īstenošanai apdrošinātāja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redakciju Garantijas fonda finanšu slogs netiek mazināts. Savukārt nosakot apdrošināšanas prēmijas maksājuma samazinājuma slieksni 40 EUR apmērā, Garantijas fonda ieguvums 2023.gadā būtu bijis ~ 127 000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Likumprojektu gan no finanšu sloga, gan personu ar invaliditāti atbalsta viedokļa. Atbalstot LDDK iepriekšējā atzinumā (22.02.2024) izteiktos priekšlikumus, personas ar invaliditāti tiktu nostādītas vienlīdzīgā situācijā, t.i., tiktu piešķirts vienāds apdrošināšanas prēmijas maksājuma samazinājuma (atlaides) apmērs, kā arī apdrošināšanas prēmijas maksājuma samazinājuma  apjoms personām ar invaliditāti tiktu saglabāts esošajā apmērā, katru gadu piemērojot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neieviešot piedāvātās izmaiņas, Garantijas fonds zināmā mērā pat pārmaksā, kompensējot apdrošinātājiem piešķirtās atlaides, un pašus atlaižu saņēmējus nostāda nevienlīdzīgā situācijā. Katram apdrošinājuma ņēmējam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veidojas netaisnīga prakse - jo sliktāka apdrošinājuma ņēmēja apdrošināšanas vēsture, jo lielāka apdrošināšanas prēmija, taču attiecīgi lielāka ir arī kompensējamā atlaide no Garantijas fonda.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 Tātad persona, kura ir bīstamāka satiksmē, var saņemt lielāku atlaidi (aprakstītajā piemērā – par 80 EUR  lielāku atlaidi) nekā persona, kuras braukšanas stils ir drošāks satiksmei. Līdz ar to  konstantas summas piešķiršana OCTA iegādei vai apdrošināšanas prēmijas maksājuma samazinājuma  maksimālās summas noteikšana, lai novērstu sociālo nevienlīdzību gan to personu, kam pienākas atlaides, gan pārējo apdrošinājuma ņēmēju starpā, ir šā brīža labākais iespējamais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 Likumprojektā grozījumus OCTA likuma 14.pantā un papildināt pantu ar 2.2 daļu“(2.2.)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