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anotācijas 3.sadaļas punktā “Cita informācija” norādītais liecina, ka likumprojekta īstenošanai ir nepieciešams papildu finansējums, bet anotācijas 3.sadaļa nav aizpildīta, attiecīgi lūdzam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nav atbalstāma tādu normatīvo aktu virzība, kuru īstenošana var netikt nodrošināta nepietiekamā finansējuma dēļ, attiecīgi situācijā, ja likumprojekta īstenošanai ir nepieciešams papildu finansējums, tad likumprojekta tālāka virzība ir iespējama tikai pēc šāda finansējuma piešķiršanas (likumprojekta anotācijā norāde par jautājuma skatīšanu valsts budžeta likumprojekta sagatavošanas procesā negarantē finansējuma piešķiršanu). Ja likumprojekta  virzība ir nepieciešama ātrāk, tad Satiksmes ministrijai jāpiedāvā risinājums likumprojekta īstenošanai Satiksmes ministrijai pieejamo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24.01.2024.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24.01.2024.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