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Fizisko personu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izprast, kādiem subjektiem tiek piešķirtas tiesības aktualizēt ziņas Fizisko personu reģistrā, lūdzam anotācijā skaidrot ar ko saprotams "kapsētas īpašnieks", ņemot vērā, ka ne šajā likumprojektā, ne arī likumprojektā “Kapsētu likums” (23-TA-616), attiecīgais termins nav definēts, anotācijā skaidrojums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ziņas par šā likuma 4. panta pirmajā daļā minētās personas apbedīšanu, kremāciju, pārapbedīšanu, urnas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netiek paredzēts reģistrā norādīt ziņas par apbedītā mirušā kremāciju, ņemot vērā, ka saskaņā ar projekta 2.pantu kapsētas īpašnieks vai kremācijas pakalpojuma sniedzējs aktualizē reģistrā šādas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20.09.2024.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20.09.2024.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Atzinumi_24-TA-1972.docx</dc:title>
</cp:coreProperties>
</file>

<file path=docProps/custom.xml><?xml version="1.0" encoding="utf-8"?>
<Properties xmlns="http://schemas.openxmlformats.org/officeDocument/2006/custom-properties" xmlns:vt="http://schemas.openxmlformats.org/officeDocument/2006/docPropsVTypes"/>
</file>