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prasības, kā arī jāveic to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 informācijas sniegšanas pienākumi un to izpilde.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sloga novērtēšanas metodiku, par informācijas sniegšanas pienākumu uzskatāma jebkura prasība fiziskai vai juridiskai personai, kā arī valsts vai pašvaldības iestādei sniegt datus citai personai vai valsts iestādei (piemēram, iesnieguma, atzinuma, akta, paziņojuma vai cita veida informācijas iesniegšana, kā arī informācijas reģistrēšana).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 Valsts kancelejas ieskatā informācijas sniegšanas darbības izriet no vairākām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7.punkta, kas uzliek par pienākumu iesniegt vienu akta atzinuma vai atzinuma eksemplāru nosūtīt Iekšlietu ministrijas Centrālās medicīniskās ekspertīzes komisija (32.4);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15.punkta, kas uzliek jaunu pienākumu amatpersonai nekavējoties rakstiski ziņot tiešajam priekšniekam par nelaimes gadījumu (50.1prim); noformēt aktu vai atzinumu un nosūtīt reģistrēšanai ministrijai (50.3prim; 50.4prim; 50.6prim);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16.punkta, kas uzliek par pienākumu noformēt aktu vai atzinumu sešos eksemplāros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19.punktu, kas paredz speciālās izmeklēšanas akta vai atzinuma sesto eksemplāru iesniegt Iekšlietu ministrijas veselības un sporta centram (61.6);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 punktu, kas paredz speciālās izmeklēšanas akta vai atzinuma eksemplāra iesniegšanu Iekšlietu ministrijas Centrālās medicīniskās ekspertīzes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vai minētās normas rada jaunas vai maina esošas informācijas sniegšanas prasības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valsts iestādēm nošķirt gadījumus, kuros informācijas sniegšana vai reģistrēšana izriet no iestādes funkcijām, no gadījumiem, kuros pienākums iestādei sniegt vai reģistrēt informāciju tiek noteikts ar šo tiesību aktu. Norādām, ka iestādes tiešo funkciju izpilde nav administratīvs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konstatētas administratīvā sloga izmaiņas, veikt to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informācijas sniegšanas pienākumu apjomu, ir jānosaka ietekmēto personu skaitu un darbību biežumu. Ja informācijas sniegšanas biežums ir neregulārs vai atkarīgs no individuāliem apstākļiem, kā tas var būt šī tiesību akta gadījumā, administratīvā sloga novērtējumā pieļaujams izmantot indikatīvus pieņēmumus, tos skaidri pamatojot anotācijā (norādot izmantoto datu avotu vai pieņēmumu loģiku). Ja nav iespējams nosaukt subjektu skaitu, ir pieļaujams, ka aprēķins tiek veikts vienam tiesību aktu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08.05.2026.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08.05.2026.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