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Emisijas kvotu izsolīšanas instrumenta finansēto projektu atklāta konkursa "Atbalsts bezemisiju un mazemisiju transportlīdzekļu iegādei"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"Zaļā brīvība"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jaunu rūpnieciski ražotu M1 un N1 kategorijas ūdeņraža automobiļu iegāde, kuru SEG emisijas ir 0 CO</w:t>
            </w:r>
            <w:r w:rsidR="00000000" w:rsidRPr="00000000" w:rsidDel="00000000">
              <w:rPr>
                <w:vertAlign w:val="subscript"/>
                <w:rtl w:val="0"/>
              </w:rPr>
              <w:t xml:space="preserve">2</w:t>
            </w:r>
            <w:r w:rsidR="00000000" w:rsidRPr="00000000" w:rsidDel="00000000">
              <w:rPr>
                <w:rtl w:val="0"/>
              </w:rPr>
              <w:t xml:space="preserve">/km, un kuriem atbilstības apliecinājumā atbilstoši normatīvajam aktam par riteņu transportlīdzekļu un to sastāvdaļu atbilstības novērtēšanu norādītais nobraukums pilsētas apstākļos starp pilnas uzpildes reizēm ir vismaz 150 km un transportlīdzekļu maksimālais ātrums ir vismaz 90 km/h. Ja atbilstības apliecinājumā nav norādīts nobraucamais attālums starp uzpildes reizēm, projekta iesniedzējs, kurš ir transportlīdzekļa izgatavotāja oficiālais pārstāvis, sagatavo un vienlaikus ar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minēto projekta iesniegumu iesniedz Vides investīciju fondā apliecinājumu, ka transportlīdzeklis pilsētas apstākļos starp pilnas uzpildes reizēm spēj nobraukt vismaz 150 km. Šo noteikumu izpratnē ar jaunu rūpnieciski ražotu M1 un N1 kategorijas ūdeņraža automobili saprot automobili, kas ir lietots mazāk par sešiem mēnešiem vai nobraucis mazāk par 6000 km;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aicinājumu svītrot no atbalstāmajām aktivitātēm Nr. 8.3. un 8.4.: ūdeņraža auto; vai ietvert nosacījumu, kā tiks pierādīts, ka transportlīdzekļa ekspluatācijā izmantotais ūdeņradis ir ražots, izmantojot tikai atjaunīgo enerģiju.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sniegtajā skaidrojumā izziņā gan biedrībai, gan Finanšu ministrijai, netiek atbildēts un paskaidrots, kā tiks nodrošināts, ka ar ūdeņradi darbināmais transportlīdzeklis izmantos ūdeņradi, kas ir ražots, izmantojot tikai atjaunīgo enerģiju. Nav pieļaujama situācija, ka ar atbalsta programmas palīdzību iegādāts ūdeņraža auto izmanto no dabasgāzes ražotu ūdeņradi. Taču atbilstoši šī brīža noteikumu versijai tas būtu iespējams, turklāt ar ļoti augstu varbūtību tas tā arī būtu, ņemot vērā zaļā ūdeņraža (ne)pieejamību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saprotama tehnoloģiskās neitralitātes pieeja, tomēr atbalsta programmas mērķis ir emisiju samazinājums, kas ir nepieciešams pēc iespējas ātri. Apstāklis, ka ir bijušas iepriekšējas vienošanās par to, ka  atbalsta programmā nākotnē tiks iekļauts ūdeņraža auto, vai, ka ir ES direktīvas prasības izvietot ūdeņraža uzlādes punktus noteiktos attālumos un noteiktas nozīmes ceļiem, nav pietiekams pamatojums šajā brīdī atbalsta programmā ietvert šīs tehnoloģijas auto, jo senākas apņemšanās nereti izrādās kļūdainas un dzīvē realizēties nespējīgas.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pati Ministrija norāda, ka ar atbalsta programmu iegādāto ūdeņraža auto skaits būtu tuvu "0", kas atkal norāda uz to, ka šajā brīdī atbalsts šāda veida auto iegādei nav nepieciešams, jo nepastāv tehnoloģiskā gatavība, jo sevišķi attiecībā uz zaļā ūdeņraža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Maksis Rūdolfs Apinis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25-TA-2646</w:t>
    </w:r>
    <w:r>
      <w:br/>
    </w:r>
    <w:r w:rsidR="00000000" w:rsidRPr="00000000" w:rsidDel="00000000">
      <w:rPr>
        <w:rtl w:val="0"/>
      </w:rPr>
      <w:t xml:space="preserve">Izdrukāts 16.04.2026. 17.35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25-TA-2646</w:t>
    </w:r>
    <w:r>
      <w:br/>
    </w:r>
    <w:r w:rsidR="00000000" w:rsidRPr="00000000" w:rsidDel="00000000">
      <w:rPr>
        <w:rtl w:val="0"/>
      </w:rPr>
      <w:t xml:space="preserve">Izdrukāts 16.04.2026. 17.35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Atzinumi_25-TA-2646.docx</dc:title>
</cp:coreProperties>
</file>

<file path=docProps/custom.xml><?xml version="1.0" encoding="utf-8"?>
<Properties xmlns="http://schemas.openxmlformats.org/officeDocument/2006/custom-properties" xmlns:vt="http://schemas.openxmlformats.org/officeDocument/2006/docPropsVTypes"/>
</file>