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23-TA-1760: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12. decembra noteikumos Nr. 994 "Kārtība, kādā augstskolas un koledžas tiek finansētas no valsts budžeta 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Kārtība, kādā augstskolas un koledžas tiek finansētas no valsts budžeta līdzekļiem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Noteikumu projekta pielikumā lūdzam precizēt atsauci uz Saimniecisko darbību statistisko klasifikāciju Eiropas Kopienā, 2. redakciju, norādot precīzu tās </w:t>
            </w:r>
            <w:r w:rsidR="00000000" w:rsidRPr="00000000" w:rsidDel="00000000">
              <w:rPr>
                <w:u w:val="single"/>
                <w:rtl w:val="0"/>
              </w:rPr>
              <w:t xml:space="preserve">nosaukumu un redakciju</w:t>
            </w:r>
            <w:r w:rsidR="00000000" w:rsidRPr="00000000" w:rsidDel="00000000">
              <w:rPr>
                <w:rtl w:val="0"/>
              </w:rPr>
              <w:t xml:space="preserve">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Piezīmes. 1. * Augstākās izglītības iestāde sniedz informāciju par radošajiem un mākslinieciskajiem projektiem, kuri atbilst šādiem kritērijiem: – projekta aktivitātes atbilst veidlapā norādītajiem NACE kodiem atbilstošām darbībām un pakalpojumiem; – projekta aktivitāšu īstenošanā saskaņā ar rakstveida līgumu ir iesaistīts vismaz viens studējošais, kurš augstāko izglītību ieguvis projekta aktivitātēm atbilstošā studiju virzienā.2. ** Saimniecisko darbību statistiskā klasifikācija Eiropas Kopienā, 2. redakcija. 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Ieva Kurme (CSP)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23-TA-1760</w:t>
    </w:r>
    <w:r>
      <w:br/>
    </w:r>
    <w:r w:rsidR="00000000" w:rsidRPr="00000000" w:rsidDel="00000000">
      <w:rPr>
        <w:rtl w:val="0"/>
      </w:rPr>
      <w:t xml:space="preserve">Izdrukāts 14.09.2023. 10.35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23-TA-1760</w:t>
    </w:r>
    <w:r>
      <w:br/>
    </w:r>
    <w:r w:rsidR="00000000" w:rsidRPr="00000000" w:rsidDel="00000000">
      <w:rPr>
        <w:rtl w:val="0"/>
      </w:rPr>
      <w:t xml:space="preserve">Izdrukāts 14.09.2023. 10.35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