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informatīvās telpas drošības koordinācijas grupas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anotācijā pausto, ka plašākas sabiedrības pārstāvji Drošības grupas darbā nebūs iesaistīti, izņemot, ja netiks uzaicināti piedalīties specifisku jautājumu izvērtēšanā. Lai gan saskaņā ar normatīvā akta projekta (nolikuma) 8.punktu darba grupai būs tiesības atbilstoši darba kārtības jautājumiem uzaicināt piedalīties pārstāvjus bez balsstiesībām, šis plānotais regulējums un šobrīd anotācijā iekļautais neatbilst Konceptuālajā ziņojumā par valsts stratēģisko komunikāciju un informatīvās telpas drošību 2023.–2027. gadam ietvertajam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attiecībā uz plānoto darbības virzienu "7.2. Informatīvās telpas noturības pasākumi pret drošības apdraudējumiem" tiek iekļauts, ka noturība balstās uz visu valsts pārvaldes un pašvaldību institūciju, kā arī organizētas pilsoniskās sabiedrības, akadēmiskā un privātā sektora līdzdarbību, izmantojot gan apsteidzošus, gan uz krīzēm reaģējošus risinājumus indivīdu, institūciju un valsts līmenī. Kā arī - Latvijas interesēs ir visaptveroši mobilizēt plašu spēlētāju un resursu klāstu, lai attīstītu noturīgu informatīvo telpu, kurā uzbrucēja iespējas veikt manipulācijas tiktu samazinātas līdz minimumam.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ziņojuma virziens "7.5. Partnerība ar organizētu pilsonisko sabiedrību, privāto un akadēmisko sektoru" ietver to, ka valsts pārvaldes un pašvaldību institūcijām ir būtiski veidot ilgtermiņa attiecības ar privāto sektoru, kā arī sinerģija starp publisko un privāto sektoru var ļaut radīt inovācijas informatīvās telpas pētniecības, analīzes un drošības jomā, kas ar laiku var kļūt par valsts eksporta preci vai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ziņojums paredz dažādus būtiskus aspektus, kādos būtu jāiesaista arī privātais sektors, un tā kā šī darba grupas mērķis būs koordinēt un uzraudzīt Ziņojuma ieviešanu, ir jāparedz un anotācijā jāiekļauj jau konkrēta nevalstisko pārstāvju grupas iesaiste - šajā gadījumā drošības un aizsardzības industriju pārstāvniecība ko īsteno Latvijas Drošības un aizsardzības industriju federācija (turpmāk - DAIF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ir lielākā drošības un aizsardzības uzņēmumu apvienojošā organizācija Latvijā un uzskatām, ka tieši tehnoloģiju iespējām un risinājumiem, ko piedāvā šīs industrijas un arī akadēmiskais sektors, ir kritiska nozīme arī tieši informatīvās telpas drošības un noturības sekmēšanā un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pārstāvjus bez balsstiesībām no citām institūcijām, tostarp Saeimas un atsevišķām tās komisijām, citām ministrijām, to padotības iestādēm, pašvaldībām, kā arī pārstāvjus un ekspertus no pilsoniskās sabiedrības, akadēmiskajām institūcijām vai privātā sektora.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noteikumu projektā punktu vai papildināt 8.punktu ar normu, kas paredz iesaistīt Drošības grupas darbā drošības un aizsardzības industriju kā privātā sektora pārstāvniecību, ko nodrošinātu Latvijas Drošības un aizsardzības industriju federācija (turpmāk - DAIF Latvija).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Konceptuālajā ziņojumā par valsts stratēģisko komunikāciju un informatīvās telpas drošību 2023.–2027. gadam pie virziena "7.5. Partnerība ar organizētu pilsonisko sabiedrību, privāto un akadēmisko sektoru" ir iekļauts, ka, lai lai sekmīgi sagatavotos nākotnes krīzēm un dažādiem valsts apdraudējuma scenārijiem, Valsts kancelejas StratCom attīstīs sadarbības tīklu ar nevalstiskajām organizācijām, privātā un akadēmiskā sektora institūcijām un pārstāvjiem. Tīkls būs mobilizējams krīzes situācijās, lai novērstu vai mazinātu drošības riskus un apdraudējumus informatīvajā telpā, izplatītu valsts stratēģiskās komunikācijas vēstījumus, kā arī īstenotu citus pasākumus sekmīgai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lai nodrošinātu šāda sadarbības tīkla efektīvu darbību un iespējamo mobilizēšanu krīzes situācijai, ir jānodrošina patstāvīga sadarbība ar visām iesaistītajām pusēm, nevis tikai atsevišķos gadījumos vai par konkrētiem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ir lielākā drošības un aizsardzības uzņēmumu apvienojošā organizācija Latvijā un uzskatām, ka tieši tehnoloģiju iespējām un risinājumiem, ko piedāvā šīs industrijas un arī akadēmiskais sektors, ir kritiska nozīme arī tieši informatīvās telpas drošības un noturības sekmēšanā un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13.03.2023.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13.03.2023.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Atzinumi_23-TA-347.docx</dc:title>
</cp:coreProperties>
</file>

<file path=docProps/custom.xml><?xml version="1.0" encoding="utf-8"?>
<Properties xmlns="http://schemas.openxmlformats.org/officeDocument/2006/custom-properties" xmlns:vt="http://schemas.openxmlformats.org/officeDocument/2006/docPropsVTypes"/>
</file>