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jūlija noteikumos Nr. 435 "Kārtība, kādā nosaka un kompensē ar sabiedriskā transporta pakalpojumu sniegšanu saistītos zaudējumus un izdevumus un nosaka sabiedriskā transporta pakalpojuma tarifu"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nosaka un kompensē ar sabiedriskā transporta pakalpojumu sniegšanu saistītos zaudējumus un izdevumus un nosaka sabiedriskā transporta pakalpojuma tarifu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(turpmāk – LPPA) ir iepazinusies ar Satiksmes ministrijas sagatavoto Ministru kabineta noteikumu projektu “Grozījumi Ministru kabineta 2015. gada 28. jūlija noteikumos Nr. 435 "Kārtība, kādā nosaka un kompensē ar sabiedriskā transporta pakalpojumu sniegšanu saistītos zaudējumus un izdevumus un nosaka sabiedriskā transporta pakalpojuma tarifu" (ID Nr. 25-TA-2670), turpmāk – Grozījumu projekts, un piedāvātajā redakcijā to nesaskaņo.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ieskatā Satiksmes ministrijas piedāvātais regulējuma projekts ir neprecīzs un neatbilst Eiropas Parlamenta un Padomes Regulai Nr.1370/2007 (2007.gada 23.oktobris) par sabiedriskā pasažieru transporta pakalpojumiem, izmantojot dzelzceļu un autoceļus, un ar ko atceļ Padomes Regulu (EEK) Nr.1191/69 un Padomes Regulu (EEK) Nr.1107/70, kuras interpretāciju un piemērošanas ietvaru ir sniegusi Eiropas Savienības tiesa 2022.gada 8.septembra spriedumā lietā C-614/20 (Lux Express Estonia AS pret Majandus- ja Kommunikatsiooniministeerium), kur Eiropas Savienības tiesa rezolutīvas daļas 2.punktā ir noteikusi, ka [..] </w:t>
            </w:r>
            <w:r w:rsidR="00000000" w:rsidRPr="00000000" w:rsidDel="00000000">
              <w:rPr>
                <w:i w:val="1"/>
                <w:rtl w:val="0"/>
              </w:rPr>
              <w:t xml:space="preserve">kompetentajām iestādēm ir pienākums piešķirt uzņēmumiem, kuri attiecīgās dalībvalsts teritorijā nodrošina sabiedriskā transporta pakalpojumu, izmantojot autoceļus un dzelzceļu, kompensāciju saistībā ar neto labvēlīgo vai nelabvēlīgo finanšu ietekmi uz izmaksām un ieņēmumiem, kas radušies, ievērojot vispārējos noteikumos paredzētu pienākumu bez maksas pārvadāt atsevišķas pasažieru kategorijas, tostarp pirmsskolas vecuma bērnus un atsevišķu kategoriju personas ar invaliditāti un 3.punktā ir noteikusi</w:t>
            </w:r>
            <w:r w:rsidR="00000000" w:rsidRPr="00000000" w:rsidDel="00000000">
              <w:rPr>
                <w:rtl w:val="0"/>
              </w:rPr>
              <w:t xml:space="preserve"> [..] </w:t>
            </w:r>
            <w:r w:rsidR="00000000" w:rsidRPr="00000000" w:rsidDel="00000000">
              <w:rPr>
                <w:i w:val="1"/>
                <w:rtl w:val="0"/>
              </w:rPr>
              <w:t xml:space="preserve">kompensācija nevar būt lielāka par summu, kas atbilst neto finanšu ietekmei.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Grozījumu projektā ir paredzējusi jaunas tiesību normas - 58</w:t>
            </w:r>
            <w:r w:rsidR="00000000" w:rsidRPr="00000000" w:rsidDel="00000000">
              <w:rPr>
                <w:vertAlign w:val="superscript"/>
                <w:rtl w:val="0"/>
              </w:rPr>
              <w:t xml:space="preserve">6</w:t>
            </w:r>
            <w:r w:rsidR="00000000" w:rsidRPr="00000000" w:rsidDel="00000000">
              <w:rPr>
                <w:rtl w:val="0"/>
              </w:rPr>
              <w:t xml:space="preserve">.punktu un 58</w:t>
            </w:r>
            <w:r w:rsidR="00000000" w:rsidRPr="00000000" w:rsidDel="00000000">
              <w:rPr>
                <w:vertAlign w:val="superscript"/>
                <w:rtl w:val="0"/>
              </w:rPr>
              <w:t xml:space="preserve">7</w:t>
            </w:r>
            <w:r w:rsidR="00000000" w:rsidRPr="00000000" w:rsidDel="00000000">
              <w:rPr>
                <w:rtl w:val="0"/>
              </w:rPr>
              <w:t xml:space="preserve">.punktu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“58.</w:t>
            </w:r>
            <w:r w:rsidR="00000000" w:rsidRPr="00000000" w:rsidDel="00000000">
              <w:rPr>
                <w:i w:val="1"/>
                <w:vertAlign w:val="superscript"/>
                <w:rtl w:val="0"/>
              </w:rPr>
              <w:t xml:space="preserve">6</w:t>
            </w:r>
            <w:r w:rsidR="00000000" w:rsidRPr="00000000" w:rsidDel="00000000">
              <w:rPr>
                <w:i w:val="1"/>
                <w:rtl w:val="0"/>
              </w:rPr>
              <w:t xml:space="preserve"> Komerciālajam pārvadātājam ir tiesības prasīt kompensēt zaudējumus par tādu pasažieru pārvadāšanu, kuriem noteikti braukšanas maksas atvieglojumi saskaņā ar normatīvajiem aktiem par braukšanas maksas atvieglojumu izmantošanu.</w:t>
            </w:r>
            <w:r w:rsidR="00000000" w:rsidRPr="00000000" w:rsidDel="00000000">
              <w:rPr>
                <w:i w:val="1"/>
                <w:rtl w:val="0"/>
              </w:rPr>
              <w:t xml:space="preserve">58.</w:t>
            </w:r>
            <w:r w:rsidR="00000000" w:rsidRPr="00000000" w:rsidDel="00000000">
              <w:rPr>
                <w:i w:val="1"/>
                <w:vertAlign w:val="superscript"/>
                <w:rtl w:val="0"/>
              </w:rPr>
              <w:t xml:space="preserve">7</w:t>
            </w:r>
            <w:r w:rsidR="00000000" w:rsidRPr="00000000" w:rsidDel="00000000">
              <w:rPr>
                <w:i w:val="1"/>
                <w:rtl w:val="0"/>
              </w:rPr>
              <w:t xml:space="preserve"> Šo noteikumu 58.</w:t>
            </w:r>
            <w:r w:rsidR="00000000" w:rsidRPr="00000000" w:rsidDel="00000000">
              <w:rPr>
                <w:i w:val="1"/>
                <w:vertAlign w:val="superscript"/>
                <w:rtl w:val="0"/>
              </w:rPr>
              <w:t xml:space="preserve">6</w:t>
            </w:r>
            <w:r w:rsidR="00000000" w:rsidRPr="00000000" w:rsidDel="00000000">
              <w:rPr>
                <w:i w:val="1"/>
                <w:rtl w:val="0"/>
              </w:rPr>
              <w:t xml:space="preserve">  punktā minētās zaudējumu kompensācijas (turpmāk - zaudējumu kompensācija komerciālajam pārvadātājam) apmērs nevar pārsniegt attiecīgā dotētā reģionālā sabiedriskā transporta tarifa apmēru vai braukšanas maksu faktiskajā apmērā, ja tā ir zemāka par dotēto reģionālo sabiedriskā transporta tarifu.  Braukšanas maksas daļu, kas pārsniedz dotēto reģionālo sabiedriskā transporta tarifu, sedz braukšanas maksas atvieglojuma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piedāvātais ierobežojums “nepārsniegt dotētā reģionālā tarifa apmēru” neatspoguļo komerciālā pārvadātāja faktiskās izmaksas un neatbilst brīvā tirgus principiem, kā arī rada situāciju, kur pārvadātājs  turpina  subsidēt valsts noteiktos atvieglojumus. Tas ir pretrunā augstāk minētajam  Eiropas Savienības tiesas 2022.gada 8.septembra spriedumam lietā C-614/20 (Lux Express Estonia AS pret Majandus- ja Kommunikatsiooniministeerium), kurā tiesa noteica, ka   </w:t>
            </w:r>
            <w:r w:rsidR="00000000" w:rsidRPr="00000000" w:rsidDel="00000000">
              <w:rPr>
                <w:b w:val="1"/>
                <w:rtl w:val="0"/>
              </w:rPr>
              <w:t xml:space="preserve">valsts pienākums ir kompensēt zaudējumus, kas rodas sabiedriskā pakalpojuma saistību izpildes rezultātā neatkarīgi no pārvadājuma veida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 Šo noteikumu </w:t>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 punktā minētās zaudējumu kompensācijas (turpmāk - zaudējumu kompensācija komerciālajam pārvadātājam) apmērs nevar pārsniegt attiecīgā dotētā reģionālā sabiedriskā transporta tarifa apmēru vai braukšanas maksu faktiskajā apmērā, ja tā ir zemāka par dotēto reģionālo sabiedriskā transporta tarifu.  Braukšanas maksas daļu, kas pārsniedz dotēto reģionālo sabiedriskā transporta tarifu, sedz braukšanas maksas atvieglojuma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(turpmāk – LPPA) norāda, ka piedāvātais ierobežojums “nepārsniegt dotētā reģionālā tarifa apmēru” neatspoguļo komerciālā pārvadātāja faktiskās izmaksas un neatbilst brīvā tirgus principiem, kā arī rada situāciju, kur pārvadātājs  turpina  subsidēt valsts noteiktos atvieglojumus. Tas ir pretrunā augstāk minētajam  Eiropas Savienības tiesas 2022.gada 8.septembra spriedumam lietā C-614/20 (Lux Express Estonia AS pret Majandus- ja Kommunikatsiooniministeerium), kurā tiesa noteica, ka   valsts pienākums ir kompensēt zaudējumus, kas rodas sabiedriskā pakalpojuma saistību izpildes rezultātā neatkarīgi no pārvadājuma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LPPA piedāvā divus alternatīvus priekšlikuma variantus: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Pilnas kompensācijas variants pēc faktiskā komerciālā pārvadātāja biļešu tarifa.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kompensācija atbilst tai faktiskajai biļetes cenas daļai, kas pasažierim tiek piemērota kā atvieglojums. Tas ir juridiski drošākais, atbilst Eiropas Savienības tiesas praksei, kā arī ir tehniski visvienkāršākais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piedāvā 58.</w:t>
            </w:r>
            <w:r w:rsidR="00000000" w:rsidRPr="00000000" w:rsidDel="00000000">
              <w:rPr>
                <w:vertAlign w:val="superscript"/>
                <w:rtl w:val="0"/>
              </w:rPr>
              <w:t xml:space="preserve">7</w:t>
            </w:r>
            <w:r w:rsidR="00000000" w:rsidRPr="00000000" w:rsidDel="00000000">
              <w:rPr>
                <w:rtl w:val="0"/>
              </w:rPr>
              <w:t xml:space="preserve">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  Šo noteikumu 58.</w:t>
            </w:r>
            <w:r w:rsidR="00000000" w:rsidRPr="00000000" w:rsidDel="00000000">
              <w:rPr>
                <w:vertAlign w:val="superscript"/>
                <w:rtl w:val="0"/>
              </w:rPr>
              <w:t xml:space="preserve">6</w:t>
            </w:r>
            <w:r w:rsidR="00000000" w:rsidRPr="00000000" w:rsidDel="00000000">
              <w:rPr>
                <w:rtl w:val="0"/>
              </w:rPr>
              <w:t xml:space="preserve"> punktā minētās zaudējumu kompensācijas apmērs komerciālajam pārvadātājam ir vienāds ar komerciālā pārvadātāja noteiktās biļetes faktiskās cenas daļu, kas atbilst pasažierim piešķirtajam braukšanas maksas atvieglojumam.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w:t>
            </w:r>
            <w:r w:rsidR="00000000" w:rsidRPr="00000000" w:rsidDel="00000000">
              <w:rPr>
                <w:vertAlign w:val="superscript"/>
                <w:rtl w:val="0"/>
              </w:rPr>
              <w:t xml:space="preserve">7</w:t>
            </w:r>
            <w:r w:rsidR="00000000" w:rsidRPr="00000000" w:rsidDel="00000000">
              <w:rPr>
                <w:rtl w:val="0"/>
              </w:rPr>
              <w:t xml:space="preserve"> Valsts kompensē pilnu biļetes cenas daļu, kas atbilst braukšanas maksas atvieglojumam.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w:t>
            </w:r>
            <w:r w:rsidR="00000000" w:rsidRPr="00000000" w:rsidDel="00000000">
              <w:rPr>
                <w:vertAlign w:val="superscript"/>
                <w:rtl w:val="0"/>
              </w:rPr>
              <w:t xml:space="preserve">7</w:t>
            </w:r>
            <w:r w:rsidR="00000000" w:rsidRPr="00000000" w:rsidDel="00000000">
              <w:rPr>
                <w:rtl w:val="0"/>
              </w:rPr>
              <w:t xml:space="preserve"> Kompensācijas aprēķinā izmantotā biļetes cena ir pārvadātāja publiski noteiktā un reģistrētais  biļetes tarifs  attiecīgajam maršruta posmam.”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līdz ekonomiski pamatotam tarifam 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variants saglabā valsts kontroli pār kompensācijas griestiem, bet vienlaikus nodrošina, ka tiek segti komerciālā pārvadātāja ekonomiski pamatoti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piedāvā 58.</w:t>
            </w:r>
            <w:r w:rsidR="00000000" w:rsidRPr="00000000" w:rsidDel="00000000">
              <w:rPr>
                <w:vertAlign w:val="superscript"/>
                <w:rtl w:val="0"/>
              </w:rPr>
              <w:t xml:space="preserve">7</w:t>
            </w:r>
            <w:r w:rsidR="00000000" w:rsidRPr="00000000" w:rsidDel="00000000">
              <w:rPr>
                <w:rtl w:val="0"/>
              </w:rPr>
              <w:t xml:space="preserve">punktu, 58.</w:t>
            </w:r>
            <w:r w:rsidR="00000000" w:rsidRPr="00000000" w:rsidDel="00000000">
              <w:rPr>
                <w:vertAlign w:val="superscript"/>
                <w:rtl w:val="0"/>
              </w:rPr>
              <w:t xml:space="preserve">8</w:t>
            </w:r>
            <w:r w:rsidR="00000000" w:rsidRPr="00000000" w:rsidDel="00000000">
              <w:rPr>
                <w:rtl w:val="0"/>
              </w:rPr>
              <w:t xml:space="preserve">punktu, 58.</w:t>
            </w:r>
            <w:r w:rsidR="00000000" w:rsidRPr="00000000" w:rsidDel="00000000">
              <w:rPr>
                <w:vertAlign w:val="superscript"/>
                <w:rtl w:val="0"/>
              </w:rPr>
              <w:t xml:space="preserve">9</w:t>
            </w:r>
            <w:r w:rsidR="00000000" w:rsidRPr="00000000" w:rsidDel="00000000">
              <w:rPr>
                <w:rtl w:val="0"/>
              </w:rPr>
              <w:t xml:space="preserve">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 Šo noteikumu 58.</w:t>
            </w:r>
            <w:r w:rsidR="00000000" w:rsidRPr="00000000" w:rsidDel="00000000">
              <w:rPr>
                <w:vertAlign w:val="superscript"/>
                <w:rtl w:val="0"/>
              </w:rPr>
              <w:t xml:space="preserve">6</w:t>
            </w:r>
            <w:r w:rsidR="00000000" w:rsidRPr="00000000" w:rsidDel="00000000">
              <w:rPr>
                <w:rtl w:val="0"/>
              </w:rPr>
              <w:t xml:space="preserve"> punktā minētās zaudējumu kompensācijas apmērs komerciālajam pārvadātājam ir vienāds ar ekonomiski pamatotā tarifa apmēru, kas tiek noteikts atbilstoši šo noteikumu 58. punktam vai braukšanas maksas faktiskajam apmēram, ja tas ir zemāks.”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 Valsts kompensē pilnu braukšanas maksas daļu, kas atbilst braukšanas maksas atvieglojumam, bet ne vairāk kā ekonomiski pamatotā tarifa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w:t>
            </w:r>
            <w:r w:rsidR="00000000" w:rsidRPr="00000000" w:rsidDel="00000000">
              <w:rPr>
                <w:vertAlign w:val="superscript"/>
                <w:rtl w:val="0"/>
              </w:rPr>
              <w:t xml:space="preserve">8</w:t>
            </w:r>
            <w:r w:rsidR="00000000" w:rsidRPr="00000000" w:rsidDel="00000000">
              <w:rPr>
                <w:rtl w:val="0"/>
              </w:rPr>
              <w:t xml:space="preserve"> Ekonomiski pamatoto tarifu komerciālajam pārvadātājam maršrutā nosaka Autotransporta direkcija,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w:t>
            </w:r>
            <w:r w:rsidR="00000000" w:rsidRPr="00000000" w:rsidDel="00000000">
              <w:rPr>
                <w:vertAlign w:val="superscript"/>
                <w:rtl w:val="0"/>
              </w:rPr>
              <w:t xml:space="preserve">8</w:t>
            </w:r>
            <w:r w:rsidR="00000000" w:rsidRPr="00000000" w:rsidDel="00000000">
              <w:rPr>
                <w:rtl w:val="0"/>
              </w:rPr>
              <w:t xml:space="preserve"> pārvadātāja iesniegto tarifa aprēķinu, kas ietver visus tiešos un netiešos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w:t>
            </w:r>
            <w:r w:rsidR="00000000" w:rsidRPr="00000000" w:rsidDel="00000000">
              <w:rPr>
                <w:vertAlign w:val="superscript"/>
                <w:rtl w:val="0"/>
              </w:rPr>
              <w:t xml:space="preserve">8</w:t>
            </w:r>
            <w:r w:rsidR="00000000" w:rsidRPr="00000000" w:rsidDel="00000000">
              <w:rPr>
                <w:rtl w:val="0"/>
              </w:rPr>
              <w:t xml:space="preserve"> nozares vidējiem ekonomiskiem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w:t>
            </w:r>
            <w:r w:rsidR="00000000" w:rsidRPr="00000000" w:rsidDel="00000000">
              <w:rPr>
                <w:vertAlign w:val="superscript"/>
                <w:rtl w:val="0"/>
              </w:rPr>
              <w:t xml:space="preserve">8</w:t>
            </w:r>
            <w:r w:rsidR="00000000" w:rsidRPr="00000000" w:rsidDel="00000000">
              <w:rPr>
                <w:rtl w:val="0"/>
              </w:rPr>
              <w:t xml:space="preserve"> maršruta attālumu, transportlīdzekļu tipu un pakalpojuma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w:t>
            </w:r>
            <w:r w:rsidR="00000000" w:rsidRPr="00000000" w:rsidDel="00000000">
              <w:rPr>
                <w:vertAlign w:val="superscript"/>
                <w:rtl w:val="0"/>
              </w:rPr>
              <w:t xml:space="preserve">8</w:t>
            </w:r>
            <w:r w:rsidR="00000000" w:rsidRPr="00000000" w:rsidDel="00000000">
              <w:rPr>
                <w:rtl w:val="0"/>
              </w:rPr>
              <w:t xml:space="preserve"> cenu konkurences vides apstākļiem attiecīgajā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9</w:t>
            </w:r>
            <w:r w:rsidR="00000000" w:rsidRPr="00000000" w:rsidDel="00000000">
              <w:rPr>
                <w:rtl w:val="0"/>
              </w:rPr>
              <w:t xml:space="preserve"> Komerciālajam pārvadātājam noteiktais ekonomiski pamatotais tarifs ir spēkā vienu gadu, un to Autotransporta direkcija pārrēķina pēc komerciālā pārvadātāja iesnieguma vai nozares vidējo rādītāju būtisku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 Lai saņemtu zaudējumu kompensāciju, komerciālais pārvadātājs integrē komerciālā pārvadātāja biļešu tirdzniecības sistēmas informāciju ar braukšanas maksas atvieglojumu saņēmēju informācijas sistēmu, lai nodrošinātu ticamu un pārbaudāmu informāciju par pārvadāto pasažieru, kuriem noteikti braukšanas maksas atvieglojumi saskaņā ar normatīvajiem aktiem par braukšanas maksas atvieglojumu izmantošanu, skaitu. Komerciālajam pārvadātājam nekompensē izdevumus, kas saistīti ar komerciālā pārvadātāja biļešu tirdzniecības sistēmas informācijas integrāciju ar braukšanas maksas atvieglojumu saņēmēju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vēlas vērst uzmanību, ka informācijas sistēmu izstrādes un pielāgošanas izmaksas tiek pilnībā segtas no komerciālā pārvadātāja līdzekļiem. Šī iemesla dēļ regulējumā ir būtiski ņemt vērā ekonomisko aspektu un paredzēt tādu risinājumu, kas prasa tikai minimālas izmaiņas esošo kases sistēmu konfigurācijā un integrācijā.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 Autotransporta direkcija reizi ceturksnī apkopo informāciju par braukšanas maksas atvieglojumu saņēmēju informācijas sistēmā reģistrētiem datiem par komerciālā pārvadātāja pārvadāto pasažieru, kuriem noteikti braukšanas maksas atvieglojumi saskaņā ar normatīvajiem aktiem  par braukšanas maksas atvieglojumu izmantošanu, skaitu un aprēķina zaudējumu kompensācijas komerciālajam pārvadātājam apmēru, nepieciešamības gadījumā pieprasot komerciālajam pārvadātājam papildus informāciju un dokumentus kompensācijas apmēra pamatojumam un kompensācijas izmaksai (tajā skaitā, kontaktinformāciju un bankas rekvizītus).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(turpmāk -LPPA) iebilst pret 58.</w:t>
            </w:r>
            <w:r w:rsidR="00000000" w:rsidRPr="00000000" w:rsidDel="00000000">
              <w:rPr>
                <w:vertAlign w:val="superscript"/>
                <w:rtl w:val="0"/>
              </w:rPr>
              <w:t xml:space="preserve">10</w:t>
            </w:r>
            <w:r w:rsidR="00000000" w:rsidRPr="00000000" w:rsidDel="00000000">
              <w:rPr>
                <w:rtl w:val="0"/>
              </w:rPr>
              <w:t xml:space="preserve"> punktu esošā redakcijā. Rosinām izslēgt sekojošu teikuma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nepieciešamības gadījumā pieprasot komerciālajam pārvadātājam papildus informāciju un dokumentus kompensācijas apmēra pamatojumam un kompensācijas izmaksai (tajā skaitā, kontaktinformāciju un bankas rekvizītus)."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LPPA norāda, ka esošā redakcijā ir ļoti plaši traktējama un būtībā palielina administratīvo slogu pārvadātājiem gatavojot pieprasīto informāciju. Nav izprotams, ka obligāta prasība pārvadātājam ir  integrēt komerciālā pārvadātāja biļešu tirdzniecības sistēmas informāciju ar braukšanas maksas atvieglojumu saņēmēju informācijas sistēmu, lai nodrošinātu ticamu un pārbaudāmu informāciju par pārvadāto pasažieru, kuriem noteikti braukšanas maksas atvieglojumi saskaņā ar normatīvajiem aktiem par braukšanas maksas atvieglojumu izmantošanu, skaitu, taču tai pat laikā ir tiesības pieprasīt jebkādu informāciju. Papildus informācijas pieprasīšanai nav pamatojuma.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rosina 58.</w:t>
            </w:r>
            <w:r w:rsidR="00000000" w:rsidRPr="00000000" w:rsidDel="00000000">
              <w:rPr>
                <w:vertAlign w:val="superscript"/>
                <w:rtl w:val="0"/>
              </w:rPr>
              <w:t xml:space="preserve">10</w:t>
            </w:r>
            <w:r w:rsidR="00000000" w:rsidRPr="00000000" w:rsidDel="00000000">
              <w:rPr>
                <w:rtl w:val="0"/>
              </w:rPr>
              <w:t xml:space="preserve">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 Autotransporta direkcija reizi ceturksnī apkopo informāciju par braukšanas maksas atvieglojumu saņēmēju informācijas sistēmā reģistrētiem datiem par komerciālā pārvadātāja pārvadāto pasažieru, kuriem noteikti braukšanas maksas atvieglojumi saskaņā ar normatīvajiem aktiem  par braukšanas maksas atvieglojumu izmantošanu, skaitu un aprēķina zaudējumu kompensācijas komerciālajam pārvadātājam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Ivo Ošenieks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25-TA-2670</w:t>
    </w:r>
    <w:r>
      <w:br/>
    </w:r>
    <w:r w:rsidR="00000000" w:rsidRPr="00000000" w:rsidDel="00000000">
      <w:rPr>
        <w:rtl w:val="0"/>
      </w:rPr>
      <w:t xml:space="preserve">Izdrukāts 20.11.2025.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25-TA-2670</w:t>
    </w:r>
    <w:r>
      <w:br/>
    </w:r>
    <w:r w:rsidR="00000000" w:rsidRPr="00000000" w:rsidDel="00000000">
      <w:rPr>
        <w:rtl w:val="0"/>
      </w:rPr>
      <w:t xml:space="preserve">Izdrukāts 20.11.2025.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Atzinumi_25-TA-2670.docx</dc:title>
</cp:coreProperties>
</file>

<file path=docProps/custom.xml><?xml version="1.0" encoding="utf-8"?>
<Properties xmlns="http://schemas.openxmlformats.org/officeDocument/2006/custom-properties" xmlns:vt="http://schemas.openxmlformats.org/officeDocument/2006/docPropsVTypes"/>
</file>