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Rīgas valstspilsētas pašvaldība.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juridiskās tehnikas prasībām tiesību normai ir jābūt skaidrai, lai tās lietotājs un piemērotājs gūtu nepārprotamu priekšstatu par normā ietvertajiem pienākumiem un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pārskatīt noteikumu projekta II nodaļā ietverto regulējumu un to pēc nepieciešamības precizēt, ņemot vērā, ka noteikumu projekta 11.2. apakšpunktā kā viens no projekta iesniedzējiem jau ir noteikta Rīgas valstspilsētas pašvaldība, un attiecīgi secināms, ka Rīgas valstspilsētas pašvaldība nepiedalās projektu iesniedzēju priekšatlasē. Lūdzam precizēt noteikumu projekta II nodaļu, nodrošinot viennozīmīgu interpretāciju par prasībām Rīgas valstspilsētas pašvaldībai kā projekta iesniedzējam un pārējām pašvaldībām kā projektu iesniedzējiem.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Pašvaldībai maksimāli plānotais Eiropas Reģionālās attīstības fonda finansējums tiek aprēķināts proporcionāli pašvaldības dibināto vispārējās izglītības iestāžu izglītojamo skaitam 1.–12. klašu grupā saskaņā ar Valsts izglītības informācijas sistēmā pieejamajiem datiem uz 2024. gada 1. septembri. Eiropas Reģionālās attīstības  fonda finansējums šo noteikumu 11.2. apakšpunktā minētajam projektu iesniedzējam nepārsniedz 5 000 000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53.panta 2.punktam, ka projektiem, kuri ir zem 200 000 </w:t>
            </w:r>
            <w:r w:rsidR="00000000" w:rsidRPr="00000000" w:rsidDel="00000000">
              <w:rPr>
                <w:i w:val="1"/>
                <w:rtl w:val="0"/>
              </w:rPr>
              <w:t xml:space="preserve">euro </w:t>
            </w:r>
            <w:r w:rsidR="00000000" w:rsidRPr="00000000" w:rsidDel="00000000">
              <w:rPr>
                <w:rtl w:val="0"/>
              </w:rPr>
              <w:t xml:space="preserve">sliekšņa, izmaksām jābūt segtām ar vienkāršoto izmaksu metodiku, lūdzam skaidrot, vai 4.2.1.5.pasākuma 2.kārtā ir iespējami projekti, kas var būt zem 200 000 </w:t>
            </w:r>
            <w:r w:rsidR="00000000" w:rsidRPr="00000000" w:rsidDel="00000000">
              <w:rPr>
                <w:i w:val="1"/>
                <w:rtl w:val="0"/>
              </w:rPr>
              <w:t xml:space="preserve">euro</w:t>
            </w:r>
            <w:r w:rsidR="00000000" w:rsidRPr="00000000" w:rsidDel="00000000">
              <w:rPr>
                <w:rtl w:val="0"/>
              </w:rPr>
              <w:t xml:space="preserve">, kā arī noteikt noteikumu projektā minimālo projektu apjoma slieksni, ka vienam projekta iesniegumam minimālais kopējo attiecināmo izmaksu apmērs nav mazāks kā 200 000 </w:t>
            </w:r>
            <w:r w:rsidR="00000000" w:rsidRPr="00000000" w:rsidDel="00000000">
              <w:rPr>
                <w:i w:val="1"/>
                <w:rtl w:val="0"/>
              </w:rPr>
              <w:t xml:space="preserve">euro</w:t>
            </w:r>
            <w:r w:rsidR="00000000" w:rsidRPr="00000000" w:rsidDel="00000000">
              <w:rPr>
                <w:rtl w:val="0"/>
              </w:rPr>
              <w:t xml:space="preserve">(ieskaitot), ja plānots, ka projekti būs virs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iespēju noteikt maksimālo projekta apmēru visiem projektiem (ne tikai Rīgai), lai nodrošinātu nacionālā rādītāja izpildi, ņemot vērā, ka skolu infrastruktūras vajadzības pārsniedz pasākumam pieejamo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Sadarbības iestāde  projekta  īstenošanas  laikā  un  projekta  dzīves  cikla  laikā (10  gadi) atbilstoši Izglītības un zinātnes ministrijas izstrādātajai papildinošas saimnieciskās darbības uzraudzības metodikai nodrošina  papildinošas  saimnieciskās darbības uzraudzību projekta uzlabotajai infrastruktūrai.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26.punktā minēts, ka sadarbības iestāde  projekta  īstenošanas  laikā  un  projekta  dzīves  cikla  laikā (10 gadi) atbilstoši Izglītības un zinātnes ministrijas izstrādātajai papildinošas saimnieciskās darbības uzraudzības metodikai nodrošina papildinošas  saimnieciskās darbības uzraudzību projekta uzlabotajai infrastruktūrai. Vienlaikus anotācijā ir dots sīkāks skaidrojums par papildinošu saimniecisko darbību (PSD), t.sk. dots piemērs – dienesta viesnīcas iznomāšana.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piemēru - dienesta viesnīcas iznomāšana – anotācijā neiekļaut, jo atkarībā no subjekta, kam tā tiek iznomāta, tā var būt gan PSD, gan saimnieciskā darbība, kas pasākumā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noteikumus precizēt un anotāciju papildināt ar skaidrojumu, ka projekta dzīves cikls ir ieguldījumu amortizācijas periods. Vienlaikus vēršam uzmanību, ka Komisijas 2014. gada 3. marta Deleģētās regulas (ES) Nr.480/2014, ar kuru papildina Eiropas Parlamenta un Padomes Regulu (ES) Nr.1303/2013, ar ko paredz kopīgus noteikumus par Eiropas Reģionālās attīstības fondu, Eiropas Sociālo fondu, Kohēzijas fondu, Eiropas Lauksaimniecības fondu lauku attīstībai un Eiropas Jūrlietu un zivjsaimniecības fondu un vispārīgus noteikumus par Eiropas Reģionālās attīstības fondu, Eiropas Sociālo fondu, Kohēzijas fondu un Eiropas Jūrlietu un zivjsaimniecības fondu, ir zaudējusi spēku, attiecīgi aicinām izvērtēt atsauci uz šo regulu.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6.punktā norādītais kopējais indikatīvi plānotais finansējuma apjoma izlietojums pārsniedz noteikumu projektā plānoto un pieejamo finansējumu, arī pašvaldībām 6.punktā indikatīvi plānotais finansējums ir norādīts lielāks nekā noteikumu projektā paredzēts, līdz ar to lūgums precizēt. Papildus lūdzam 5.3.apakšpunktā precizēt norādīto skaitli 2027.gadam, kā arī 6.punktā pie indikatīvā finansējuma sadalījuma 2027.gadam redakcionāli precizēt finansējuma sadalījumu pa budžetiem, ievērojot, ka līdzfinansējumu ir paredzēts nodrošināt no pašvaldību budžeta nevis no valsts budžeta.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vienkāršoto izmaksu piemērošanas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1.6. apakšpunktu aiz vārda "nosacījumus" ar vārdiem "un kārtību", lai nodrošinātu atbilstību Eiropas Savienības fondu 2021.–2027. gada plānošanas perioda vadības likuma 19. panta 6. punktā ietvertajam deleģējumam.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vienkāršoto izmaksu piemērošanas nosacījumus </w:t>
            </w:r>
            <w:r w:rsidR="00000000" w:rsidRPr="00000000" w:rsidDel="00000000">
              <w:rPr>
                <w:b w:val="1"/>
                <w:rtl w:val="0"/>
              </w:rPr>
              <w:t xml:space="preserve">un kārtību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otrajā projektu iesniegumu atlases kārtā projektu iesniedzēju priekšatlasē piedalās: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pēc noteikumu projekta 13.punkta un anotācijā sniegtās informācijas ir noprotams, ka sadarbības iestāde iesaistās pēc informācijas saņemšanas no Izglītības un zinātnes ministrijas par priekšatlases rezultātiem: "Izglītības un zinātnes ministrija viena mēneša laikā pēc priekšatlases ietvaros iesniegtās informācijas izvērtēšanas iesniedz Ministru kabinetā informāciju lēmuma pieņemšanai par priekšatlasē atlasītajām pašvaldībām un par katrai pašvaldībai plānoto maksimālo ERAF finansējumu.", tomēr precīzākai izpratnei un nepārprotamībai, lūdzam, konkrētāk norādīt, ka priekšatlases funkciju nodrošina Izglītības un zinātnes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Izglītības un zinātnes ministrija viena mēneša laikā pēc šo noteikumu 11. un  12. punktā minētās informācijas izvērtēšanas atbilstoši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minētajiem kritērijiem iesniedz Ministru kabinetā informāciju lēmuma pieņemšanai par priekšatlasē atlasītajām pašvaldībām un par katrai pašvaldībai plānoto maksimālo Eiropas Reģionālās attīstības fondu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13. punktu norādot, ar kāda tiesību akta projektu (t.i., Ministru kabineta rīkojumu) Ministru kabinetā tiks iesniegta noteikumu projekta 13. punktā minētā informācija lēmuma pieņemšanai par priekšatlasē atlasītajām pašvaldībām un par katrai pašvaldībai plānoto maksimālo Eiropas Reģionālās attīstības fondu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un anotācijā aprakstīt, kā tiks veikts projekta iesniedzēju/finansējuma saņēmēju atlases process, t.sk., vai plānots, ka projekta iesniedzēji paši piesaka skolu infrastruktūras vajadzības vai arī Izglītības un zinātnes ministrija veic atlasi balstoties uz statistikas datiem un iepriekš pieteiktajām vajadzībām, piemēram. Lūdzam papildus skaidrot, kā tiks izvērtētas skolu vajadzību prioritātes, ņemot vērā, ka skolu vajadzības pārsniedz 4.2.1.5.pasākuma 2.kārtai pieejamo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15. punktā minētā pašvaldība sagatavo projekta iesniegumu atbilstoši projektu iesniegumu atlases nolikumā noteiktajām prasībām un šo noteikumu 15. punktā minētā uzaicinājuma noteiktajā termiņā iesniedz to sadarbības iestādē, izmantojot Kohēzijas politikas fondu vadības informācijas sistēmu. Iesniedzot projekta iesniegumu sadarbības iestādē, pašvaldība kļūst par projekta iesniedzēju.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16. punkta otro teikumu, ņemot vērā, ka minētais regulējums izriet no Eiropas Savienības fondu 2021.—2027. gada plānošanas perioda vadības likuma 1. panta 5.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15. punktā minētā pašvaldība sagatavo projekta iesniegumu atbilstoši projektu iesniegumu atlases nolikumā noteiktajām prasībām un šo noteikumu 15. punktā minētā uzaicinājuma noteiktajā termiņā iesniedz to sadarbības iestādē, izmantojot Kohēzijas politikas fondu vadības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Pasākuma otrās projektu iesniegumu atlases kārtas ietvaros tiek apstiprināts projekta iesniegums, kas cita starpā, atbilst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17.2. un 17.3. punktā definētos kritērijus pārcelt uz īstenošanas sadaļas nosacījumiem (IV nodaļu), definējot kā izpildes progresa kontrolkritērijus. Vēršam uzmanību, ka šādi kritēriji nav izvērtējami pie atlases nosacījumiem, t.i. balstās uz nākotnes solījumiem, nevis uz projekta iesnieguma iesniegšanas brīdi pārbaudāmiem faktiem. Lūdzam skatīt kontekstā ar Apakškomitejā iesniegtajiem kritērijiem un Centrālās finanšu un līgumu aģentūras izteiktajiem komentāriem par kritēriju komplektu.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III nodaļu ar nosacījumu, ka "projekta iesnieguma pamatojošās dokumentācijas sagatavošanas izmaksas, būvuzraudzības, autoruzraudzības, būvprojekta tehniskā projekta vai skiču projekta stadijā izmaksas, energosertifikācijas un energoaudita izmaksas kopā ir attiecināmas līdz 10% no projekta kopējām attiecināmajām izmaksām" atbilstoši vadošās iestādes vadlīniju Nr.1.2. "Vadlīnijas attiecināmo izmaksu noteikšanai Eiropas Savienības kohēzijas politikas programmas 2021.-2027.gada plānošanas periodā" 10.2.apakšpunktā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Pasākuma otrās projektu iesniegumu atlases kārtas ietvaros ir attiecināmas šādas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noteikumu projekta 20.punktā ir tiešās attiecināmās projekta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informācijas un komunikācijas tehnoloģiju risinājumu ieviešanas izmaksas, tai skaitā bezvadu interneta un interneta pieslēguma izveides izmaksas, mācību procesa nodrošināšanai nepieciešamā aprīkojuma un programmatūras iegādes izmaksas. Plānojot bezvadu interneta un interneta pieslēguma izveides izmaksas, projekta iesniedzējs ņem vērā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projekta ietvaros veiktās priekšizpētes rezultātus;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dubultā finansējuma risku, lūdzam papildināt punktu ar nosacījumu, ka finansējuma saņēmējs nodrošina izmaksu nepārklāšanos ar 2.3.2.3.i investīciju.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un komunikācijas tehnoloģiju risinājumu ieviešanas izmaksas, tai skaitā bezvadu interneta un interneta pieslēguma izveides izmaksas, mācību procesa nodrošināšanai nepieciešamā aprīkojuma un programmatūras iegādes izmaksas. Plānojot bezvadu interneta un interneta pieslēguma izveides izmaksas, projekta iesniedzējs ņem vērā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w:t>
            </w:r>
            <w:r w:rsidR="00000000" w:rsidRPr="00000000" w:rsidDel="00000000">
              <w:rPr>
                <w:b w:val="1"/>
                <w:rtl w:val="0"/>
              </w:rPr>
              <w:t xml:space="preserve">(turpmāk- 2.3.2.3.i investīcija)</w:t>
            </w:r>
            <w:r w:rsidR="00000000" w:rsidRPr="00000000" w:rsidDel="00000000">
              <w:rPr>
                <w:rtl w:val="0"/>
              </w:rPr>
              <w:t xml:space="preserve"> projekta ietvaros veiktās priekšizpētes rezultātus. </w:t>
            </w:r>
            <w:r w:rsidR="00000000" w:rsidRPr="00000000" w:rsidDel="00000000">
              <w:rPr>
                <w:b w:val="1"/>
                <w:rtl w:val="0"/>
              </w:rPr>
              <w:t xml:space="preserve">Finansējuma saņēmējs nodrošina izmaksu nepārklāšanos ar 2.3.2.3.i investīciju.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Iļjinska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 energosertifikācijas, ekspertīzes un izpētes izmaksas, ja to veikšana ir priekšnosacījums, lai izstrādātu būvprojektu, būvdarbu ieceres dokumentāciju vai būvprojektu minimālā sastāvā;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definēt piemērus, kas traktējams zem termina "izpētes izmaksas", lai nodrošinātu, ka netiek pieļautas interpretācijas zem šo izmaksu pozīcijām.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Pievienotās vērtības nodokļa maksājumi, kas tiešā veidā saistīti ar projektu, uzskatāmi par attiecināmām izmaksām saskaņā ar 2021. gada 24. jūnija Eiropas Parlamenta un padomes Regulas (ES) Nr. 2021/1060  (turpmāk - regula Nr. 2021/1060) 64. panta 1. punkta “c” apakšpunktā ietvertajiem nosacījumiem, ja tas nav atgūstams atbilstoši normatīvajiem aktiem nodokļu politikas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Regulas 2021/1060 64. panta 1. punkta "c" apakšpunkta "i" punkta izriet, ka darbībām (t.i. projektiem), </w:t>
            </w:r>
            <w:r w:rsidR="00000000" w:rsidRPr="00000000" w:rsidDel="00000000">
              <w:rPr>
                <w:u w:val="single"/>
                <w:rtl w:val="0"/>
              </w:rPr>
              <w:t xml:space="preserve">kuru kopējās izmaksas ir mazākas nekā 5 000 000 </w:t>
            </w:r>
            <w:r w:rsidR="00000000" w:rsidRPr="00000000" w:rsidDel="00000000">
              <w:rPr>
                <w:i w:val="1"/>
                <w:u w:val="single"/>
                <w:rtl w:val="0"/>
              </w:rPr>
              <w:t xml:space="preserve">euro</w:t>
            </w:r>
            <w:r w:rsidR="00000000" w:rsidRPr="00000000" w:rsidDel="00000000">
              <w:rPr>
                <w:u w:val="single"/>
                <w:rtl w:val="0"/>
              </w:rPr>
              <w:t xml:space="preserve"> (ieskaitot pievienotās vērtības nodokli), pievienotās vērtības nodokļa izmaksas ir attiecināmas</w:t>
            </w:r>
            <w:r w:rsidR="00000000" w:rsidRPr="00000000" w:rsidDel="00000000">
              <w:rPr>
                <w:rtl w:val="0"/>
              </w:rPr>
              <w:t xml:space="preserve">; savukārt no "ii" punkta izriet, ka darbībām (t.i. projektiem), </w:t>
            </w:r>
            <w:r w:rsidR="00000000" w:rsidRPr="00000000" w:rsidDel="00000000">
              <w:rPr>
                <w:u w:val="single"/>
                <w:rtl w:val="0"/>
              </w:rPr>
              <w:t xml:space="preserve">kuru kopējās izmaksas ir vismaz 5 000 000 </w:t>
            </w:r>
            <w:r w:rsidR="00000000" w:rsidRPr="00000000" w:rsidDel="00000000">
              <w:rPr>
                <w:i w:val="1"/>
                <w:u w:val="single"/>
                <w:rtl w:val="0"/>
              </w:rPr>
              <w:t xml:space="preserve">euro</w:t>
            </w:r>
            <w:r w:rsidR="00000000" w:rsidRPr="00000000" w:rsidDel="00000000">
              <w:rPr>
                <w:u w:val="single"/>
                <w:rtl w:val="0"/>
              </w:rPr>
              <w:t xml:space="preserve"> (ieskaitot pievienotās vērtības nodokli), pievienotās vērtības nodokļa izmaksas ir attiecināmas gadījumos, kad tas nav atgūstams saskaņā ar pievienotās vērtības nodokli reglamentējošiem valsts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nepieciešamību precizēt noteikumu projekta 21. punktu, ja varētu tikt īstenoti projekti, kuru kopējās izmaksas ir mazākas nekā 5 000 000 </w:t>
            </w:r>
            <w:r w:rsidR="00000000" w:rsidRPr="00000000" w:rsidDel="00000000">
              <w:rPr>
                <w:i w:val="1"/>
                <w:rtl w:val="0"/>
              </w:rPr>
              <w:t xml:space="preserve">euro</w:t>
            </w:r>
            <w:r w:rsidR="00000000" w:rsidRPr="00000000" w:rsidDel="00000000">
              <w:rPr>
                <w:rtl w:val="0"/>
              </w:rPr>
              <w:t xml:space="preserve"> (ieskaitot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ka, lai novērstu dubultā finansējuma risku, finansējuma saņēmējs nodrošina finanšu plūsmas  uzskatāmu nodalīšanu (tai skaitā pievienotās vērtības nodokļa izmaksu uzskaiti) no citām finansējuma saņēmēja darbības finanšu plūsmām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Izmaksas ir attiecināmas no šo noteikumu spēkā stāšanās dienas, izņemot šo noteikumu 20.10., 20.11., 20.12. apakšpunktā minētās izmaksas, kas ir attiecināmas, ja tās veiktas, sākot ar 2023. gada 1. janvāri.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22.punktu, ka nedrīkst attiecināt uz projekta iesnieguma iesniegšanas brīdi pabeigtas darbības.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Pasākuma otrās projektu iesniegumu atlases kārtas ietvaros ieguldījumus veic finansējuma saņēmēja īpašumā esošajā infrastruktūrā. Informācijas un komunikācijas tehnoloģiju ieguldījumi plānoti finansējuma saņēmēja īpašumā esošajos digitālajos risinājumos, tai skaitā pēc ieguldījumu veikšanas finansējuma saņēmēja īpašumā atradīsies pirmkodi, intelektuālā īpašuma tiesības, tai skaitā risinājuma modificēšanas tiesības, lai novērstu gadījumus, kad tiek kropļota konkurence, veicot publiskus ieguldījumus kāda konkrēta komersanta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plānotās investīcijas, to tvērumu un nepieciešamību papildināt noteikumu projektu ar izņēmuma gadījumu, ka izveidotā infrastruktūra, piemēram, optiskā interneta tīkla kabelis, var palikt komersanta īpašumā, ja infrastruktūru pēc tās izbūves izmanto tikai finansējuma saņēmējs, šādu nosacījumu atrunājot starp finansējuma saņēmēju un komersantu noslēgtajā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veicot projektu uzraudzību 2014.-2020.gada plānošanas periodā, sadarbības iestāde ir saskārusies ar situāciju, ka komersants, kurš nodrošina optiskā interneta pakalpojumu sniegšanu, ir noraidošs pret iespēju finansējuma saņēmējam pasūtīt un organizēt optiskā interneta kabeļa ievilkšanu, pamatojot ar to, ka šie darbi ir ļoti specifiski un komersants sadarbojas tikai ar konkrētu apakšuzņēmēju, kas veic šādas infrastruktūras izbūvi. Pēc infrastruktūras izbūves tā paliek komersanta īpašumā vai tiek nodota bezatlīdzības lietošanā, neskatoties uz to, ka infrastruktūras izbūves izmaksas sedz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Pasākuma otrās projektu iesniegumu atlases kārtas ietvaros ieguldījumus veic finansējuma saņēmēja īpašumā esošajā infrastruktūrā. Informācijas un komunikācijas tehnoloģiju ieguldījumi plānoti finansējuma saņēmēja īpašumā esošajos digitālajos risinājumos, tai skaitā pēc ieguldījumu veikšanas finansējuma saņēmēja īpašumā atradīsies pirmkodi, intelektuālā īpašuma tiesības, tai skaitā risinājuma modificēšanas tiesības, lai novērstu gadījumus, kad tiek kropļota konkurence, veicot publiskus ieguldījumus kāda konkrēta komersanta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gadījumā, ja noteikumu projekts ir attiecināms uz infrastruktūru, tad noteikumu projektā iekļauj nosacījumu par finansējuma saņēmēja tiesībām uz konkrēto objektu vai īpašumu, kurā plānots veikt ieguldījumus (īpašumā, ilgtermiņa nomā vai nodibinātas apbūves tiesības, bezatlīdzības lietošanā, valdījumā, turējumā u.c.).</w:t>
            </w:r>
            <w:r w:rsidR="00000000" w:rsidRPr="00000000" w:rsidDel="00000000">
              <w:rPr>
                <w:u w:val="single"/>
                <w:rtl w:val="0"/>
              </w:rPr>
              <w:t xml:space="preserve"> Finansējuma saņēmēja tiesībām uz konkrēto objektu vai īpašumu jābūt nostiprinātām Zemesgrāmatā</w:t>
            </w:r>
            <w:r w:rsidR="00000000" w:rsidRPr="00000000" w:rsidDel="00000000">
              <w:rPr>
                <w:rtl w:val="0"/>
              </w:rPr>
              <w:t xml:space="preserve"> (ja attiecināms). Ja minētajam nosacījumam saskaņā ar nacionālo regulējumu ir izņēmums, tas attiecīgi aprakstāms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noteikumu projekta 25. punktu vai anotāciju ar norādi, ka finansējuma saņēmēja tiesības uz konkrēto infrastruktūru ir nostiprinātas Zemesgrāmatā, vai sniegt atbilstošu skaidrojumu gadījumā, ja minētajam nosacījumam saskaņā ar nacionālo regulējumu ir noteikts izņēmums.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Sadarbības iestāde  projekta  īstenošanas  laikā  un  projekta  dzīves  cikla  laikā (10  gadi) atbilstoši Izglītības un zinātnes ministrijas izstrādātajai papildinošas saimnieciskās darbības uzraudzības metodikai nodrošina  papildinošas  saimnieciskās darbības uzraudzību projekta uzlabotajai infrastruktūrai.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papildinošas saimnieciskās darbības uzraudzībā, aicinām ieviest papildinošās saimnieciskās darbības pašdeklarēšanās principu, t.i. paredzot, ka finansējuma saņēmējs visā projekta dzīves ciklā sagatavo ikgadējus pārskatus par papildinošās saimnieciskās darbības un papildpakalpjumu apjomu un nodrošina šajā punktā minēto pārskatu un aprēķinus pamatojošo dokumentu pieejamību papildinošās saimnieciskās darbības un papildpakalpjumu uzraudzībai. Ja finansējuma saņēmējs konstatē, ka ir pārsniegts šo noteikumu 27. punktā minētais 20 procentu apjoms no infrastruktūras kopējās gada jaudas un/vai ka minētā infrastruktūra tiek izmantotas citai saimnieciskai darbībai, kas nav uzskatāma par papildinošu saimniecisku darbību, tas vienošanās par projekta īstenošanu noteiktajā termiņā iesniedz sadarbības iestādei ziņojumu par konstatēto šo noteikumu 27. punktā minēto nosacījumu pārkāpumu. Sadarbības iestādei ir tiesības finansējuma saņēmējam pieprasīt iesniegt papildinošās saimnieciskās darbības un papildpakalpjumu pārskatus projekta dzīves cikla laikā, tai skaitā gadījumos, kad saņemta informācija par papildinošās saimnieciskās darbības un papildpakalpjumu nosacījumu pārkāpumu no finansējuma saņēmēja, kompetentām iestādēm vai no trešajām personām. Attiecīgus labojumus lūdzam veikt arī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projekta anotācijā norādīt, ka atbildīgā iestāde izstrādā papildinošās saimnieciskās darbības uzraudzības metodiku līdz projektu iesniegumu atlases izsludināšanai.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Putniņa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sadarbības iestāde konstatē, ka ir pārkāptas šo noteikumu 26.  punktā minētās komercdarbības atbalsta kontroles normas, finansējuma saņēmējam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papildinošu saimniecisku darbību un papildpakalpojumu, aicinām precizēt noteikumu projekta punkta redakciju atbilstoši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dzīves cikla laikā tiek konstatēts, ka infrastruktūrā, par kuru iesniegts projekta iesniegums, tiek veikta saimnieciskā darbība, kas nav uzskatāma par papildpakalpojumu, vai tiek veikta papildinoša saimnieciskā darbība, kas pārsniedz šo noteikumu 27. punktā minēto apmēru, vai tiek veikta saimnieciskā darbība, kas nav uzskatāma par papildinošu saimniecisko darbību, finansējuma saņēmējs proporcionāli tai gada jaudas platības, laika vai finanšu izteiksmē daļai, par kuru kopumā ir konstatēts pārkāpums, atmaksā sadarbības iestādei visu nelikumīgi saņemto atbalstu kopā ar procentiem no finansējuma, kura avots nav publiskie līdzekļi,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Putniņa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trīs gadus pēc projekta īstenošanas informē sadarbības iestādi par būves ikgadējo enerģijas patēriņu (megavatstundas);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norādot, ka finansējuma saņēmējs informē sadarbības iestādi par enerģijas patēriņu arī pirms projekta īstenošanas, nodrošinot atbilstību Energoefektivitātes likuma 15.pantam, kā arī iespēju noteikt projekta īstenošanas rezultātā radušos enerģijas samazinājumu.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 projekta īstenošanas laikā nodrošina visu ar projekta īstenošanu saistīto dokumentu glabāšanu, tai skaitā projekta iesnieguma, jebkuru ar projektu saistīto sarakstes dokumentu, iepirkuma dokumentācijas, projekta līguma, veikto darbu, piegāžu un sniegto pakalpojumu apliecinošu dokumentu, veikto maksājumu apliecinošu dokumentu oriģinālu vai to atvasinājumu ar juridisko spēku;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sadarbības iestāde saskaņā ar noteikumu projekta 26.punktu nodrošina papildinošas saimnieciskās darbības uzraudzību projekta uzlabotajai infrastruktūrai projekta dzīves ciklā, lūdzam papildināt dokumentu glabāšanas termiņu ar projekta dzīves cikla laiku.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un </w:t>
            </w:r>
            <w:r w:rsidR="00000000" w:rsidRPr="00000000" w:rsidDel="00000000">
              <w:rPr>
                <w:b w:val="1"/>
                <w:rtl w:val="0"/>
              </w:rPr>
              <w:t xml:space="preserve">projekta dzīves cikla laikā</w:t>
            </w:r>
            <w:r w:rsidR="00000000" w:rsidRPr="00000000" w:rsidDel="00000000">
              <w:rPr>
                <w:rtl w:val="0"/>
              </w:rPr>
              <w:t xml:space="preserve"> nodrošina visu ar projekta īstenošanu saistīto dokumentu glabāšanu, tai skaitā projekta iesnieguma, jebkuru ar projektu saistīto sarakstes dokumentu, iepirkuma dokumentācijas, projekta līguma, veikto darbu, piegāžu un sniegto pakalpojumu apliecinošu dokumentu, veikto maksājumu apliecinošu dokumentu oriģinālu vai to atvasinājumu ar juridisko spēku.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Pēc  vienošanās  par  projekta  īstenošanu  noslēgšanas  sadarbības iestāde,  pamatojoties  uz  finansējuma  saņēmēja avansa pieprasījumu, nodrošina finansējuma saņēmējam avansa maksājumus, ievērojot, ka viens avansa maksājums nepārsniedz 30 procentus un avansa un starpposmu maksājumu kopsumma nepārsniedz 90 procentus no kopējā projektam piešķirtā Eiropas Reģionālās attīstības fonda finansējuma. Maksājuma pieprasījumu piešķirtā avansa maksājuma apmērā finansējuma saņēmējs iesniedz sadarbības iestādei saimnieciskā gada ietvaros, bet ne ilgāk kā sešu mēnešu laikā pēc avansa maksājuma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 viennozīmīgu normas interpretāciju, lūdzam precizēt noteikumu projekta 30.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Pēc vienošanās par projekta īstenošanu noslēgšanas sadarbības iestāde, pamatojoties uz finansējuma saņēmēja avansa pieprasījumu, nodrošina finansējuma saņēmējam avansa maksājumus, ievērojot, ka viens avansa maksājums nepārsniedz 30 procentus un avansa un starpposmu maksājumu kopsumma nepārsniedz 90 procentus no kopējā projektam piešķirtā Eiropas Reģionālās attīstības fonda finansējuma. </w:t>
            </w:r>
            <w:r w:rsidR="00000000" w:rsidRPr="00000000" w:rsidDel="00000000">
              <w:rPr>
                <w:b w:val="1"/>
                <w:rtl w:val="0"/>
              </w:rPr>
              <w:t xml:space="preserve">Maksājuma pieprasījumu piešķirtā avansa maksājuma apmērā finansējuma saņēmējs iesniedz sadarbības iestādei pēc avansa maksājuma saņemšanas sešu mēnešu laikā saimnieciskā gada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Projektu īsteno saskaņā ar noslēgto vienošanos par projekta īstenošanu, bet ne ilgāk kā līdz 2027.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anotācijā papildināt ar informāciju, kāpēc projektu īstenošanas gala termiņš tiek paredzēts 31.12.2027., ņemot vērā, ka iepirkumu un būvniecības process var ieilgt un tas var radīt vajadzību veikt īstenošanas Ministru kabineta noteikumu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administratīvo teritoriju un to teritoriālā iedalījuma vienību 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2. pielikuma nepieciešamību un, ja tāds ir nepieciešams, ietvert uz to atsauci noteikumu projekta atbilstošā normā.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anotācijā informāciju, kas liecinās par sasniegtu nacionālā rādītāja vienību, ņemot vēra, ka informāciju par rādītāja sasniegšanu paredzēts aktualizēt pie katra maksājuma pieprasījuma.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anotācijā informāciju par finansējuma sadalījumu pa intervences kodiem - intervences laukums, Finansējuma veids, Teritoriālie sasniegšanas mehānismi, ESF+ sekundārās tēmas un Dzimumu līdztiesība - , norādot intervences kodus un tam piemērojamo pasākuma fondu finansējuma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uzstādījumu, lūdzam izvērtēt vienkāršoto izmaksu iespējami plašāku piemērošanu izmaksu pozīcijām. Ja piemērot vienkāršotās izmaksas papildus jau paredzētajam nav iespējams, lūdzam sniegt pamatojumu anotācijā, kāpēc 4.2.1.5.pasākumā nav iespējams piemērot vienkāršotās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ka 2.kārtai plānotais finansējums ir arī pieejamais finansējums, t.sk. norādot, ka netiek plānots elastības finansējums, norādot, ka tas tiek plānots citos 4.2.1.specifiskā atbalsta mērķa pasākumos un kārtās.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svītrot informāciju, ka attiecas uz rezultātu ilgtspēju attiecībā uz datortehniku (4.2.1.5.pasākuma 1.kārta) un attiecībā uz izņēmumu, kas minēts atsaucoties uz Regulas 2021/1060 65.pantu, ņemot vērā, ka tas nav attiecināms uz skolu reorganizāciju.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sadaļas apakšsadaļu "Juridiskās personas" ar norādi uz Izglītības un zinātnes ministriju, savukārt atbilstošajā apakšsadaļā "Ietekmes apraksts" svītrot šobrīd iekļauto informāciju un norādīt, ka Izglītības un zinātnes ministrija pildīs atbildīgās iestādes funkcijas, savukārt pašvaldības pildīs finansējuma saņēmēju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minēto, ka projekta ietvaros personāla izmaksas netiek plānotas, lūdzam īsi papildināt anotāciju ar informāciju par resursiem, no kuriem plānots segt personāla izmaksas, t.sk. vai plānotajiem finansējuma saņēmējiem būs pietiekama kapacitāte, lai īstenotu projektus.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pēc iespējas papildināt informācija par attiecīgās nozares/ jomas pārstāvošu biedrību, nodibinājumu, nevalstisko organizāciju iesaisti noteikumu projekta izstrādē, lai izpildītu Ministru prezidenta 2021.gada 7.septembra rezolūciju Nr. 2021-1.1.1./50-50 “Izstrādājot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pasākuma 2.kārtas investīcijas atbilst Apvienoto Nāciju organizācijas Konvencijas par personu ar invaliditāti tiesībām prasībām, tostarp 4. un 5. vispārīgajam komentāram un Konvencijas par personu ar invaliditāti tiesībām komitejas noslēguma apsvērumiem vispārīgajiem principiem, cilvēktiesību prasībām, proti, Eiropas Savienības Pamattiesību hartai, Eiropas Sociālo tiesību pīlāram un Stratēģijai par personu ar invaliditāti tiesībām 2021.–2030. gadam, t.sk. ka kopumā veicot investīcijas nevar tikt veicināta nelabvēlīgākā situācijā esošu grupu segregācija/ izolācija.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plānotajām investīcijām būs tieša, netieša, vai nebūs ietekmes uz horizontālajiem principiem (HP):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“Nenodarīt būtisku kaitējumu”.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anotāciju ar informāciju, ka gadījumos, kur plānota jaunas infrastruktūras būvniecība, ieguldījumi plānoti saskaņā ar Jauno Eiropas Bauhaus iniciatīvu.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14.08.2024. 21.48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14.08.2024. 21.48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